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应用</w:t>
      </w:r>
      <w:r>
        <w:rPr>
          <w:rFonts w:ascii="Times New Roman" w:hAnsi="Times New Roman" w:cs="Times New Roman" w:eastAsiaTheme="majorEastAsia"/>
          <w:b/>
          <w:sz w:val="24"/>
          <w:szCs w:val="24"/>
        </w:rPr>
        <w:t>CarbAcineto NP</w:t>
      </w:r>
      <w:r>
        <w:rPr>
          <w:rFonts w:hint="eastAsia" w:asciiTheme="majorEastAsia" w:hAnsiTheme="majorEastAsia" w:eastAsiaTheme="majorEastAsia"/>
          <w:b/>
          <w:sz w:val="24"/>
          <w:szCs w:val="24"/>
        </w:rPr>
        <w:t>方法快速检测产碳青霉烯酶的鲍曼不动杆菌</w:t>
      </w:r>
    </w:p>
    <w:p>
      <w:pPr>
        <w:spacing w:line="220" w:lineRule="atLeast"/>
        <w:jc w:val="center"/>
        <w:rPr>
          <w:rFonts w:hint="eastAsia" w:asciiTheme="majorEastAsia" w:hAnsiTheme="majorEastAsia" w:eastAsiaTheme="majorEastAsia"/>
          <w:b/>
          <w:sz w:val="24"/>
          <w:szCs w:val="24"/>
          <w:lang w:val="en-US" w:eastAsia="zh-CN"/>
        </w:rPr>
      </w:pPr>
      <w:r>
        <w:rPr>
          <w:rFonts w:hint="eastAsia" w:asciiTheme="majorEastAsia" w:hAnsiTheme="majorEastAsia" w:eastAsiaTheme="majorEastAsia"/>
          <w:b/>
          <w:sz w:val="24"/>
          <w:szCs w:val="24"/>
          <w:lang w:val="en-US" w:eastAsia="zh-CN"/>
        </w:rPr>
        <w:t>牛翠</w:t>
      </w:r>
      <w:r>
        <w:rPr>
          <w:rFonts w:hint="eastAsia" w:asciiTheme="majorEastAsia" w:hAnsiTheme="majorEastAsia" w:eastAsiaTheme="majorEastAsia"/>
          <w:b/>
          <w:sz w:val="24"/>
          <w:szCs w:val="24"/>
          <w:vertAlign w:val="superscript"/>
          <w:lang w:val="en-US" w:eastAsia="zh-CN"/>
        </w:rPr>
        <w:t>1</w:t>
      </w:r>
      <w:r>
        <w:rPr>
          <w:rFonts w:hint="eastAsia" w:asciiTheme="majorEastAsia" w:hAnsiTheme="majorEastAsia" w:eastAsiaTheme="majorEastAsia"/>
          <w:b/>
          <w:sz w:val="24"/>
          <w:szCs w:val="24"/>
          <w:lang w:val="en-US" w:eastAsia="zh-CN"/>
        </w:rPr>
        <w:t>，马芳</w:t>
      </w:r>
      <w:bookmarkStart w:id="5" w:name="_GoBack"/>
      <w:bookmarkEnd w:id="5"/>
      <w:r>
        <w:rPr>
          <w:rFonts w:hint="eastAsia" w:asciiTheme="majorEastAsia" w:hAnsiTheme="majorEastAsia" w:eastAsiaTheme="majorEastAsia"/>
          <w:b/>
          <w:sz w:val="24"/>
          <w:szCs w:val="24"/>
          <w:vertAlign w:val="superscript"/>
          <w:lang w:val="en-US" w:eastAsia="zh-CN"/>
        </w:rPr>
        <w:t>1</w:t>
      </w:r>
      <w:r>
        <w:rPr>
          <w:rFonts w:hint="eastAsia" w:asciiTheme="majorEastAsia" w:hAnsiTheme="majorEastAsia" w:eastAsiaTheme="majorEastAsia"/>
          <w:b/>
          <w:sz w:val="24"/>
          <w:szCs w:val="24"/>
          <w:lang w:val="en-US" w:eastAsia="zh-CN"/>
        </w:rPr>
        <w:t>，张凯</w:t>
      </w:r>
      <w:r>
        <w:rPr>
          <w:rFonts w:hint="eastAsia" w:asciiTheme="majorEastAsia" w:hAnsiTheme="majorEastAsia" w:eastAsiaTheme="majorEastAsia"/>
          <w:b/>
          <w:sz w:val="24"/>
          <w:szCs w:val="24"/>
          <w:vertAlign w:val="superscript"/>
          <w:lang w:val="en-US" w:eastAsia="zh-CN"/>
        </w:rPr>
        <w:t>1</w:t>
      </w:r>
      <w:r>
        <w:rPr>
          <w:rFonts w:hint="eastAsia" w:asciiTheme="majorEastAsia" w:hAnsiTheme="majorEastAsia" w:eastAsiaTheme="majorEastAsia"/>
          <w:b/>
          <w:sz w:val="24"/>
          <w:szCs w:val="24"/>
          <w:lang w:val="en-US" w:eastAsia="zh-CN"/>
        </w:rPr>
        <w:t>，时东彦</w:t>
      </w:r>
      <w:r>
        <w:rPr>
          <w:rFonts w:hint="eastAsia" w:asciiTheme="majorEastAsia" w:hAnsiTheme="majorEastAsia" w:eastAsiaTheme="majorEastAsia"/>
          <w:b/>
          <w:sz w:val="24"/>
          <w:szCs w:val="24"/>
          <w:vertAlign w:val="superscript"/>
          <w:lang w:val="en-US" w:eastAsia="zh-CN"/>
        </w:rPr>
        <w:t>2</w:t>
      </w:r>
    </w:p>
    <w:p>
      <w:pPr>
        <w:spacing w:line="220" w:lineRule="atLeast"/>
        <w:rPr>
          <w:rFonts w:hint="eastAsia" w:asciiTheme="minorEastAsia" w:hAnsiTheme="minorEastAsia" w:eastAsiaTheme="minorEastAsia"/>
          <w:sz w:val="21"/>
          <w:szCs w:val="21"/>
        </w:rPr>
      </w:pPr>
    </w:p>
    <w:p>
      <w:pPr>
        <w:spacing w:line="220" w:lineRule="atLeast"/>
        <w:ind w:firstLine="315" w:firstLine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摘要：目的 快速检测耐碳青霉烯类抗生素鲍曼不动杆菌产生的碳青霉烯酶。方法：连续收集121株鲍曼不动杆菌，应用全自动细菌鉴定仪进行菌株鉴定和药敏试验，</w:t>
      </w:r>
      <w:r>
        <w:rPr>
          <w:rFonts w:asciiTheme="minorEastAsia" w:hAnsiTheme="minorEastAsia" w:eastAsiaTheme="minorEastAsia"/>
          <w:sz w:val="21"/>
          <w:szCs w:val="21"/>
        </w:rPr>
        <w:t>CarbAcineto NP</w:t>
      </w:r>
      <w:r>
        <w:rPr>
          <w:rFonts w:hint="eastAsia" w:asciiTheme="minorEastAsia" w:hAnsiTheme="minorEastAsia" w:eastAsiaTheme="minorEastAsia"/>
          <w:sz w:val="21"/>
          <w:szCs w:val="21"/>
        </w:rPr>
        <w:t>方法检测鲍曼不动杆菌的碳青霉烯酶，应用PCR方法检测OXA-23型碳青霉烯酶基因。结果：121株鲍曼不动杆菌中，69</w:t>
      </w:r>
      <w:r>
        <w:rPr>
          <w:rFonts w:asciiTheme="minorEastAsia" w:hAnsiTheme="minorEastAsia" w:eastAsiaTheme="minorEastAsia"/>
          <w:sz w:val="21"/>
          <w:szCs w:val="21"/>
        </w:rPr>
        <w:t>株对亚胺培南和美罗培南耐药</w:t>
      </w:r>
      <w:r>
        <w:rPr>
          <w:rFonts w:hint="eastAsia" w:asciiTheme="minorEastAsia" w:hAnsiTheme="minorEastAsia" w:eastAsiaTheme="minorEastAsia"/>
          <w:sz w:val="21"/>
          <w:szCs w:val="21"/>
        </w:rPr>
        <w:t>，其中有66株携带OXA-23基因，</w:t>
      </w:r>
      <w:r>
        <w:rPr>
          <w:rFonts w:asciiTheme="minorEastAsia" w:hAnsiTheme="minorEastAsia" w:eastAsiaTheme="minorEastAsia"/>
          <w:sz w:val="21"/>
          <w:szCs w:val="21"/>
        </w:rPr>
        <w:t>61株菌CarbAcineto NP为阳性</w:t>
      </w:r>
      <w:r>
        <w:rPr>
          <w:rFonts w:hint="eastAsia" w:asciiTheme="minorEastAsia" w:hAnsiTheme="minorEastAsia" w:eastAsiaTheme="minorEastAsia"/>
          <w:sz w:val="21"/>
          <w:szCs w:val="21"/>
        </w:rPr>
        <w:t>。</w:t>
      </w:r>
      <w:r>
        <w:rPr>
          <w:rFonts w:asciiTheme="minorEastAsia" w:hAnsiTheme="minorEastAsia" w:eastAsiaTheme="minorEastAsia"/>
          <w:sz w:val="21"/>
          <w:szCs w:val="21"/>
        </w:rPr>
        <w:t>对碳青霉烯类敏感的51株鲍曼不动杆菌中，49株菌OXA-23阴性， 50株菌CarbAcineto NP为阴性</w:t>
      </w:r>
      <w:r>
        <w:rPr>
          <w:rFonts w:hint="eastAsia" w:asciiTheme="minorEastAsia" w:hAnsiTheme="minorEastAsia" w:eastAsiaTheme="minorEastAsia"/>
          <w:sz w:val="21"/>
          <w:szCs w:val="21"/>
        </w:rPr>
        <w:t>。</w:t>
      </w:r>
      <w:r>
        <w:rPr>
          <w:rFonts w:asciiTheme="minorEastAsia" w:hAnsiTheme="minorEastAsia" w:eastAsiaTheme="minorEastAsia"/>
          <w:sz w:val="21"/>
          <w:szCs w:val="21"/>
        </w:rPr>
        <w:t>1株对亚胺培南耐药，对美罗培南敏感，OXA-23为阳性，CarbAcineto NP为阴性</w:t>
      </w:r>
      <w:r>
        <w:rPr>
          <w:rFonts w:hint="eastAsia" w:asciiTheme="minorEastAsia" w:hAnsiTheme="minorEastAsia" w:eastAsiaTheme="minorEastAsia"/>
          <w:sz w:val="21"/>
          <w:szCs w:val="21"/>
        </w:rPr>
        <w:t>。</w:t>
      </w:r>
      <w:r>
        <w:rPr>
          <w:rFonts w:asciiTheme="minorEastAsia" w:hAnsiTheme="minorEastAsia" w:eastAsiaTheme="minorEastAsia"/>
          <w:sz w:val="21"/>
          <w:szCs w:val="21"/>
        </w:rPr>
        <w:t>CarbAcineto N</w:t>
      </w:r>
      <w:r>
        <w:rPr>
          <w:rFonts w:hint="eastAsia" w:asciiTheme="minorEastAsia" w:hAnsiTheme="minorEastAsia" w:eastAsiaTheme="minorEastAsia"/>
          <w:sz w:val="21"/>
          <w:szCs w:val="21"/>
        </w:rPr>
        <w:t>P方法的敏感性和特异性分别为86.9%和96.2%。结论 相比较PCR方法</w:t>
      </w:r>
      <w:r>
        <w:rPr>
          <w:rFonts w:asciiTheme="minorEastAsia" w:hAnsiTheme="minorEastAsia" w:eastAsiaTheme="minorEastAsia"/>
          <w:sz w:val="21"/>
          <w:szCs w:val="21"/>
        </w:rPr>
        <w:t>CarbAcineto N</w:t>
      </w:r>
      <w:r>
        <w:rPr>
          <w:rFonts w:hint="eastAsia" w:asciiTheme="minorEastAsia" w:hAnsiTheme="minorEastAsia" w:eastAsiaTheme="minorEastAsia"/>
          <w:sz w:val="21"/>
          <w:szCs w:val="21"/>
        </w:rPr>
        <w:t>P方法操作简单，试剂成本低，易于在实验室开展，应用</w:t>
      </w:r>
      <w:r>
        <w:rPr>
          <w:rFonts w:asciiTheme="minorEastAsia" w:hAnsiTheme="minorEastAsia" w:eastAsiaTheme="minorEastAsia"/>
          <w:sz w:val="21"/>
          <w:szCs w:val="21"/>
        </w:rPr>
        <w:t>CarbAcineto N</w:t>
      </w:r>
      <w:r>
        <w:rPr>
          <w:rFonts w:hint="eastAsia" w:asciiTheme="minorEastAsia" w:hAnsiTheme="minorEastAsia" w:eastAsiaTheme="minorEastAsia"/>
          <w:sz w:val="21"/>
          <w:szCs w:val="21"/>
        </w:rPr>
        <w:t>P方法可以快速检测鲍曼不动杆菌OXA-23型碳青霉烯酶。</w:t>
      </w:r>
    </w:p>
    <w:p>
      <w:pPr>
        <w:spacing w:line="220" w:lineRule="atLeas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关键词：鲍曼不动杆菌；碳青霉烯酶；OXA-23;</w:t>
      </w:r>
      <w:r>
        <w:rPr>
          <w:rFonts w:asciiTheme="minorEastAsia" w:hAnsiTheme="minorEastAsia" w:eastAsiaTheme="minorEastAsia"/>
          <w:sz w:val="21"/>
          <w:szCs w:val="21"/>
        </w:rPr>
        <w:t xml:space="preserve"> CarbAcineto NP</w:t>
      </w:r>
      <w:r>
        <w:rPr>
          <w:rFonts w:hint="eastAsia" w:asciiTheme="minorEastAsia" w:hAnsiTheme="minorEastAsia" w:eastAsiaTheme="minorEastAsia"/>
          <w:sz w:val="21"/>
          <w:szCs w:val="21"/>
        </w:rPr>
        <w:t>方法</w:t>
      </w:r>
    </w:p>
    <w:p>
      <w:pPr>
        <w:jc w:val="center"/>
        <w:rPr>
          <w:rFonts w:hint="eastAsia" w:eastAsia="Times New Roman"/>
          <w:b/>
          <w:i/>
          <w:sz w:val="28"/>
          <w:szCs w:val="28"/>
          <w:lang w:val="zh-CN"/>
        </w:rPr>
      </w:pPr>
      <w:r>
        <w:rPr>
          <w:rFonts w:eastAsia="Times New Roman"/>
          <w:b/>
          <w:sz w:val="28"/>
          <w:szCs w:val="28"/>
          <w:lang w:val="zh-CN"/>
        </w:rPr>
        <w:t>CarbAcineto NP</w:t>
      </w:r>
      <w:r>
        <w:rPr>
          <w:rFonts w:hint="eastAsia" w:eastAsia="Times New Roman"/>
          <w:b/>
          <w:sz w:val="28"/>
          <w:szCs w:val="28"/>
          <w:lang w:val="zh-CN"/>
        </w:rPr>
        <w:t xml:space="preserve"> Method for Rapid Detection  Carbapenemase Producing in </w:t>
      </w:r>
      <w:bookmarkStart w:id="0" w:name="OLE_LINK3"/>
      <w:bookmarkStart w:id="1" w:name="OLE_LINK4"/>
      <w:r>
        <w:rPr>
          <w:rFonts w:hint="eastAsia" w:eastAsia="Times New Roman"/>
          <w:b/>
          <w:i/>
          <w:sz w:val="28"/>
          <w:szCs w:val="28"/>
          <w:lang w:val="zh-CN"/>
        </w:rPr>
        <w:t>Acinetobacter Baumannii</w:t>
      </w:r>
    </w:p>
    <w:bookmarkEnd w:id="0"/>
    <w:bookmarkEnd w:id="1"/>
    <w:p>
      <w:pPr>
        <w:jc w:val="both"/>
        <w:rPr>
          <w:rFonts w:ascii="Times New Roman" w:hAnsi="Times New Roman" w:eastAsia="Times New Roman" w:cs="Times New Roman"/>
          <w:color w:val="666666"/>
          <w:sz w:val="21"/>
          <w:szCs w:val="21"/>
          <w:lang w:val="zh-CN"/>
        </w:rPr>
      </w:pPr>
      <w:r>
        <w:rPr>
          <w:rFonts w:ascii="Times New Roman" w:hAnsi="Times New Roman" w:eastAsia="Times New Roman" w:cs="Times New Roman"/>
          <w:b/>
          <w:color w:val="666666"/>
          <w:sz w:val="21"/>
          <w:szCs w:val="21"/>
          <w:lang w:val="zh-CN"/>
        </w:rPr>
        <w:t xml:space="preserve">Abstract: </w:t>
      </w:r>
      <w:r>
        <w:rPr>
          <w:rFonts w:ascii="Times New Roman" w:hAnsi="Times New Roman" w:eastAsia="Times New Roman" w:cs="Times New Roman"/>
          <w:color w:val="666666"/>
          <w:sz w:val="21"/>
          <w:szCs w:val="21"/>
          <w:lang w:val="zh-CN"/>
        </w:rPr>
        <w:t xml:space="preserve">Objective </w:t>
      </w:r>
      <w:r>
        <w:rPr>
          <w:rFonts w:hint="eastAsia" w:ascii="Times New Roman" w:hAnsi="Times New Roman" w:cs="Times New Roman" w:eastAsiaTheme="minorEastAsia"/>
          <w:color w:val="666666"/>
          <w:sz w:val="21"/>
          <w:szCs w:val="21"/>
          <w:lang w:val="zh-CN"/>
        </w:rPr>
        <w:t xml:space="preserve"> </w:t>
      </w:r>
      <w:r>
        <w:rPr>
          <w:rFonts w:ascii="Times New Roman" w:hAnsi="Times New Roman" w:eastAsia="Times New Roman" w:cs="Times New Roman"/>
          <w:color w:val="666666"/>
          <w:sz w:val="21"/>
          <w:szCs w:val="21"/>
          <w:lang w:val="zh-CN"/>
        </w:rPr>
        <w:t xml:space="preserve">To detect rapidly Carbapenemase Producing in </w:t>
      </w:r>
      <w:r>
        <w:rPr>
          <w:rFonts w:ascii="Times New Roman" w:hAnsi="Times New Roman" w:eastAsia="Times New Roman" w:cs="Times New Roman"/>
          <w:i/>
          <w:color w:val="666666"/>
          <w:sz w:val="21"/>
          <w:szCs w:val="21"/>
          <w:lang w:val="zh-CN"/>
        </w:rPr>
        <w:t>Acinetobacter Baumannii</w:t>
      </w:r>
      <w:r>
        <w:rPr>
          <w:rFonts w:ascii="Times New Roman" w:hAnsi="Times New Roman" w:eastAsia="Times New Roman" w:cs="Times New Roman"/>
          <w:color w:val="666666"/>
          <w:sz w:val="21"/>
          <w:szCs w:val="21"/>
          <w:lang w:val="zh-CN"/>
        </w:rPr>
        <w:t xml:space="preserve"> Methods A total of 121 strains were used to evaluate the performance of test. Identification and susceptibility testing of 121 strains of </w:t>
      </w:r>
      <w:r>
        <w:rPr>
          <w:rFonts w:ascii="Times New Roman" w:hAnsi="Times New Roman" w:eastAsia="Times New Roman" w:cs="Times New Roman"/>
          <w:i/>
          <w:color w:val="666666"/>
          <w:sz w:val="21"/>
          <w:szCs w:val="21"/>
          <w:lang w:val="zh-CN"/>
        </w:rPr>
        <w:t>A.baumannii</w:t>
      </w:r>
      <w:r>
        <w:rPr>
          <w:rFonts w:ascii="Times New Roman" w:hAnsi="Times New Roman" w:eastAsia="Times New Roman" w:cs="Times New Roman"/>
          <w:color w:val="666666"/>
          <w:sz w:val="21"/>
          <w:szCs w:val="21"/>
          <w:lang w:val="zh-CN"/>
        </w:rPr>
        <w:t xml:space="preserve"> </w:t>
      </w:r>
      <w:r>
        <w:rPr>
          <w:rFonts w:ascii="Times New Roman" w:hAnsi="Times New Roman" w:eastAsia="Times New Roman" w:cs="Times New Roman"/>
          <w:i/>
          <w:color w:val="666666"/>
          <w:sz w:val="21"/>
          <w:szCs w:val="21"/>
          <w:lang w:val="zh-CN"/>
        </w:rPr>
        <w:t xml:space="preserve"> </w:t>
      </w:r>
      <w:r>
        <w:rPr>
          <w:rFonts w:ascii="Times New Roman" w:hAnsi="Times New Roman" w:eastAsia="Times New Roman" w:cs="Times New Roman"/>
          <w:color w:val="666666"/>
          <w:sz w:val="21"/>
          <w:szCs w:val="21"/>
          <w:lang w:val="zh-CN"/>
        </w:rPr>
        <w:t>was determinated  by</w:t>
      </w:r>
      <w:r>
        <w:rPr>
          <w:rFonts w:ascii="Times New Roman" w:hAnsi="Times New Roman" w:cs="Times New Roman"/>
          <w:i/>
          <w:color w:val="666666"/>
          <w:sz w:val="21"/>
          <w:szCs w:val="21"/>
        </w:rPr>
        <w:t xml:space="preserve">  </w:t>
      </w:r>
      <w:r>
        <w:rPr>
          <w:rFonts w:ascii="Times New Roman" w:hAnsi="Times New Roman" w:eastAsia="Times New Roman" w:cs="Times New Roman"/>
          <w:i/>
          <w:color w:val="666666"/>
          <w:sz w:val="21"/>
          <w:szCs w:val="21"/>
          <w:lang w:val="zh-CN"/>
        </w:rPr>
        <w:t>VITEK</w:t>
      </w:r>
      <w:r>
        <w:rPr>
          <w:rFonts w:ascii="Times New Roman" w:hAnsi="Times New Roman" w:cs="Times New Roman"/>
          <w:color w:val="666666"/>
          <w:sz w:val="21"/>
          <w:szCs w:val="21"/>
        </w:rPr>
        <w:t xml:space="preserve"> compact. CarbAcineto NP</w:t>
      </w:r>
      <w:r>
        <w:rPr>
          <w:rFonts w:ascii="Times New Roman" w:hAnsi="Times New Roman" w:eastAsia="Times New Roman" w:cs="Times New Roman"/>
          <w:color w:val="666666"/>
          <w:sz w:val="21"/>
          <w:szCs w:val="21"/>
          <w:lang w:val="zh-CN"/>
        </w:rPr>
        <w:t xml:space="preserve"> </w:t>
      </w:r>
      <w:r>
        <w:rPr>
          <w:rFonts w:ascii="Times New Roman" w:hAnsi="Times New Roman" w:cs="Times New Roman" w:eastAsiaTheme="minorEastAsia"/>
          <w:color w:val="666666"/>
          <w:sz w:val="21"/>
          <w:szCs w:val="21"/>
          <w:lang w:val="zh-CN"/>
        </w:rPr>
        <w:t xml:space="preserve"> </w:t>
      </w:r>
      <w:r>
        <w:rPr>
          <w:rFonts w:ascii="Times New Roman" w:hAnsi="Times New Roman" w:eastAsia="Times New Roman" w:cs="Times New Roman"/>
          <w:color w:val="666666"/>
          <w:sz w:val="21"/>
          <w:szCs w:val="21"/>
          <w:lang w:val="zh-CN"/>
        </w:rPr>
        <w:t xml:space="preserve">Method  </w:t>
      </w:r>
      <w:r>
        <w:rPr>
          <w:rFonts w:ascii="Times New Roman" w:hAnsi="Times New Roman" w:cs="Times New Roman"/>
          <w:color w:val="666666"/>
          <w:sz w:val="21"/>
          <w:szCs w:val="21"/>
        </w:rPr>
        <w:t>was applied</w:t>
      </w:r>
      <w:r>
        <w:rPr>
          <w:rFonts w:ascii="Times New Roman" w:hAnsi="Times New Roman" w:eastAsia="Times New Roman" w:cs="Times New Roman"/>
          <w:color w:val="666666"/>
          <w:sz w:val="21"/>
          <w:szCs w:val="21"/>
          <w:lang w:val="zh-CN"/>
        </w:rPr>
        <w:t xml:space="preserve"> to detect the Carbapenemase of the </w:t>
      </w:r>
      <w:r>
        <w:rPr>
          <w:rFonts w:ascii="Times New Roman" w:hAnsi="Times New Roman" w:eastAsia="Times New Roman" w:cs="Times New Roman"/>
          <w:i/>
          <w:color w:val="666666"/>
          <w:sz w:val="21"/>
          <w:szCs w:val="21"/>
          <w:lang w:val="zh-CN"/>
        </w:rPr>
        <w:t xml:space="preserve"> A.baumannii and </w:t>
      </w:r>
      <w:r>
        <w:rPr>
          <w:rFonts w:ascii="Times New Roman" w:hAnsi="Times New Roman" w:eastAsia="Times New Roman" w:cs="Times New Roman"/>
          <w:color w:val="666666"/>
          <w:sz w:val="21"/>
          <w:szCs w:val="21"/>
          <w:lang w:val="zh-CN"/>
        </w:rPr>
        <w:t>Detection of  the gene of the</w:t>
      </w:r>
      <w:r>
        <w:rPr>
          <w:rFonts w:ascii="Times New Roman" w:hAnsi="Times New Roman" w:eastAsia="Times New Roman" w:cs="Times New Roman"/>
          <w:i/>
          <w:color w:val="666666"/>
          <w:sz w:val="21"/>
          <w:szCs w:val="21"/>
          <w:lang w:val="zh-CN"/>
        </w:rPr>
        <w:t xml:space="preserve"> </w:t>
      </w:r>
      <w:r>
        <w:rPr>
          <w:rFonts w:ascii="Times New Roman" w:hAnsi="Times New Roman" w:eastAsia="Times New Roman" w:cs="Times New Roman"/>
          <w:color w:val="666666"/>
          <w:sz w:val="21"/>
          <w:szCs w:val="21"/>
          <w:lang w:val="zh-CN"/>
        </w:rPr>
        <w:t>Carbapenemase</w:t>
      </w:r>
      <w:r>
        <w:rPr>
          <w:rFonts w:ascii="Times New Roman" w:hAnsi="Times New Roman" w:eastAsia="Times New Roman" w:cs="Times New Roman"/>
          <w:i/>
          <w:color w:val="666666"/>
          <w:sz w:val="21"/>
          <w:szCs w:val="21"/>
          <w:lang w:val="zh-CN"/>
        </w:rPr>
        <w:t xml:space="preserve">  </w:t>
      </w:r>
      <w:r>
        <w:rPr>
          <w:rFonts w:ascii="Times New Roman" w:hAnsi="Times New Roman" w:eastAsia="Times New Roman" w:cs="Times New Roman"/>
          <w:color w:val="666666"/>
          <w:sz w:val="21"/>
          <w:szCs w:val="21"/>
          <w:lang w:val="zh-CN"/>
        </w:rPr>
        <w:t>by the common PCR method</w:t>
      </w:r>
      <w:r>
        <w:rPr>
          <w:rFonts w:ascii="Times New Roman" w:hAnsi="Times New Roman" w:eastAsia="Times New Roman" w:cs="Times New Roman"/>
          <w:i/>
          <w:color w:val="666666"/>
          <w:sz w:val="21"/>
          <w:szCs w:val="21"/>
          <w:lang w:val="zh-CN"/>
        </w:rPr>
        <w:t>.</w:t>
      </w:r>
      <w:r>
        <w:rPr>
          <w:rFonts w:hint="eastAsia" w:ascii="Times New Roman" w:hAnsi="Times New Roman" w:cs="Times New Roman" w:eastAsiaTheme="minorEastAsia"/>
          <w:i/>
          <w:color w:val="666666"/>
          <w:sz w:val="21"/>
          <w:szCs w:val="21"/>
          <w:lang w:val="zh-CN"/>
        </w:rPr>
        <w:t>.</w:t>
      </w:r>
      <w:r>
        <w:rPr>
          <w:rFonts w:ascii="Times New Roman" w:hAnsi="Times New Roman" w:eastAsia="Tahoma" w:cs="Times New Roman"/>
          <w:sz w:val="21"/>
          <w:szCs w:val="21"/>
          <w:lang w:val="zh-CN"/>
        </w:rPr>
        <w:t xml:space="preserve"> </w:t>
      </w:r>
      <w:r>
        <w:rPr>
          <w:rFonts w:ascii="Times New Roman" w:hAnsi="Times New Roman" w:eastAsia="Times New Roman" w:cs="Times New Roman"/>
          <w:b/>
          <w:i/>
          <w:color w:val="666666"/>
          <w:sz w:val="21"/>
          <w:szCs w:val="21"/>
          <w:lang w:val="zh-CN"/>
        </w:rPr>
        <w:t xml:space="preserve"> </w:t>
      </w:r>
      <w:r>
        <w:rPr>
          <w:rFonts w:ascii="Times New Roman" w:hAnsi="Times New Roman" w:cs="Times New Roman"/>
          <w:b/>
          <w:bCs/>
          <w:color w:val="666666"/>
          <w:sz w:val="21"/>
          <w:szCs w:val="21"/>
        </w:rPr>
        <w:t>Results</w:t>
      </w:r>
      <w:r>
        <w:rPr>
          <w:rFonts w:ascii="Times New Roman" w:hAnsi="Times New Roman" w:eastAsia="Times New Roman" w:cs="Times New Roman"/>
          <w:b/>
          <w:i/>
          <w:color w:val="666666"/>
          <w:sz w:val="21"/>
          <w:szCs w:val="21"/>
          <w:lang w:val="zh-CN"/>
        </w:rPr>
        <w:t xml:space="preserve"> </w:t>
      </w:r>
      <w:r>
        <w:rPr>
          <w:rFonts w:ascii="Times New Roman" w:hAnsi="Times New Roman" w:eastAsia="Times New Roman" w:cs="Times New Roman"/>
          <w:color w:val="666666"/>
          <w:sz w:val="21"/>
          <w:szCs w:val="21"/>
          <w:lang w:val="zh-CN"/>
        </w:rPr>
        <w:t xml:space="preserve"> There </w:t>
      </w:r>
      <w:r>
        <w:rPr>
          <w:rFonts w:ascii="Times New Roman" w:hAnsi="Times New Roman" w:cs="Times New Roman"/>
          <w:color w:val="666666"/>
          <w:sz w:val="21"/>
          <w:szCs w:val="21"/>
        </w:rPr>
        <w:t xml:space="preserve">were </w:t>
      </w:r>
      <w:r>
        <w:rPr>
          <w:rFonts w:ascii="Times New Roman" w:hAnsi="Times New Roman" w:eastAsia="Times New Roman" w:cs="Times New Roman"/>
          <w:color w:val="666666"/>
          <w:sz w:val="21"/>
          <w:szCs w:val="21"/>
          <w:lang w:val="zh-CN"/>
        </w:rPr>
        <w:t>6</w:t>
      </w:r>
      <w:r>
        <w:rPr>
          <w:rFonts w:ascii="Times New Roman" w:hAnsi="Times New Roman" w:cs="Times New Roman" w:eastAsiaTheme="minorEastAsia"/>
          <w:color w:val="666666"/>
          <w:sz w:val="21"/>
          <w:szCs w:val="21"/>
          <w:lang w:val="zh-CN"/>
        </w:rPr>
        <w:t>9</w:t>
      </w:r>
      <w:r>
        <w:rPr>
          <w:rFonts w:ascii="Times New Roman" w:hAnsi="Times New Roman" w:eastAsia="Times New Roman" w:cs="Times New Roman"/>
          <w:color w:val="666666"/>
          <w:sz w:val="21"/>
          <w:szCs w:val="21"/>
          <w:lang w:val="zh-CN"/>
        </w:rPr>
        <w:t xml:space="preserve"> </w:t>
      </w:r>
      <w:r>
        <w:rPr>
          <w:rFonts w:ascii="Times New Roman" w:hAnsi="Times New Roman" w:cs="Times New Roman"/>
          <w:color w:val="666666"/>
          <w:sz w:val="21"/>
          <w:szCs w:val="21"/>
        </w:rPr>
        <w:t xml:space="preserve">of 121 </w:t>
      </w:r>
      <w:r>
        <w:rPr>
          <w:rFonts w:ascii="Times New Roman" w:hAnsi="Times New Roman" w:eastAsia="Times New Roman" w:cs="Times New Roman"/>
          <w:color w:val="666666"/>
          <w:sz w:val="21"/>
          <w:szCs w:val="21"/>
          <w:lang w:val="zh-CN"/>
        </w:rPr>
        <w:t xml:space="preserve">strains  resistant to imipenem </w:t>
      </w:r>
      <w:r>
        <w:rPr>
          <w:rFonts w:ascii="Times New Roman" w:hAnsi="Times New Roman" w:cs="Times New Roman"/>
          <w:color w:val="666666"/>
          <w:sz w:val="21"/>
          <w:szCs w:val="21"/>
        </w:rPr>
        <w:t>and</w:t>
      </w:r>
      <w:r>
        <w:rPr>
          <w:rFonts w:ascii="Times New Roman" w:hAnsi="Times New Roman" w:eastAsia="Times New Roman" w:cs="Times New Roman"/>
          <w:color w:val="666666"/>
          <w:sz w:val="21"/>
          <w:szCs w:val="21"/>
          <w:lang w:val="zh-CN"/>
        </w:rPr>
        <w:t xml:space="preserve"> meropenem </w:t>
      </w:r>
      <w:r>
        <w:rPr>
          <w:rFonts w:ascii="Times New Roman" w:hAnsi="Times New Roman" w:cs="Times New Roman"/>
          <w:color w:val="666666"/>
          <w:sz w:val="21"/>
          <w:szCs w:val="21"/>
        </w:rPr>
        <w:t>.</w:t>
      </w:r>
      <w:r>
        <w:rPr>
          <w:rFonts w:ascii="Times New Roman" w:hAnsi="Times New Roman" w:eastAsia="Times New Roman" w:cs="Times New Roman"/>
          <w:color w:val="666666"/>
          <w:sz w:val="21"/>
          <w:szCs w:val="21"/>
          <w:lang w:val="zh-CN"/>
        </w:rPr>
        <w:t xml:space="preserve"> PCR showed that </w:t>
      </w:r>
      <w:r>
        <w:rPr>
          <w:rFonts w:ascii="Times New Roman" w:hAnsi="Times New Roman" w:cs="Times New Roman"/>
          <w:color w:val="666666"/>
          <w:sz w:val="21"/>
          <w:szCs w:val="21"/>
        </w:rPr>
        <w:t>66</w:t>
      </w:r>
      <w:r>
        <w:rPr>
          <w:rFonts w:ascii="Times New Roman" w:hAnsi="Times New Roman" w:eastAsia="Times New Roman" w:cs="Times New Roman"/>
          <w:color w:val="666666"/>
          <w:sz w:val="21"/>
          <w:szCs w:val="21"/>
          <w:lang w:val="zh-CN"/>
        </w:rPr>
        <w:t xml:space="preserve"> of </w:t>
      </w:r>
      <w:r>
        <w:rPr>
          <w:rFonts w:ascii="Times New Roman" w:hAnsi="Times New Roman" w:cs="Times New Roman"/>
          <w:color w:val="666666"/>
          <w:sz w:val="21"/>
          <w:szCs w:val="21"/>
        </w:rPr>
        <w:t xml:space="preserve">69 were </w:t>
      </w:r>
      <w:r>
        <w:rPr>
          <w:rFonts w:ascii="Times New Roman" w:hAnsi="Times New Roman" w:eastAsia="Times New Roman" w:cs="Times New Roman"/>
          <w:color w:val="666666"/>
          <w:sz w:val="21"/>
          <w:szCs w:val="21"/>
          <w:lang w:val="zh-CN"/>
        </w:rPr>
        <w:t>carr</w:t>
      </w:r>
      <w:r>
        <w:rPr>
          <w:rFonts w:ascii="Times New Roman" w:hAnsi="Times New Roman" w:cs="Times New Roman"/>
          <w:color w:val="666666"/>
          <w:sz w:val="21"/>
          <w:szCs w:val="21"/>
        </w:rPr>
        <w:t xml:space="preserve">ying </w:t>
      </w:r>
      <w:r>
        <w:rPr>
          <w:rFonts w:ascii="Times New Roman" w:hAnsi="Times New Roman" w:eastAsia="Times New Roman" w:cs="Times New Roman"/>
          <w:color w:val="666666"/>
          <w:sz w:val="21"/>
          <w:szCs w:val="21"/>
          <w:lang w:val="zh-CN"/>
        </w:rPr>
        <w:t xml:space="preserve"> OXA</w:t>
      </w:r>
      <w:r>
        <w:rPr>
          <w:rFonts w:hint="eastAsia" w:ascii="Times New Roman" w:hAnsi="Times New Roman" w:cs="Times New Roman" w:eastAsiaTheme="minorEastAsia"/>
          <w:color w:val="666666"/>
          <w:sz w:val="21"/>
          <w:szCs w:val="21"/>
          <w:lang w:val="zh-CN"/>
        </w:rPr>
        <w:t>-</w:t>
      </w:r>
      <w:r>
        <w:rPr>
          <w:rFonts w:ascii="Times New Roman" w:hAnsi="Times New Roman" w:eastAsia="Times New Roman" w:cs="Times New Roman"/>
          <w:color w:val="666666"/>
          <w:sz w:val="21"/>
          <w:szCs w:val="21"/>
          <w:lang w:val="zh-CN"/>
        </w:rPr>
        <w:t>23 gene.</w:t>
      </w:r>
      <w:r>
        <w:rPr>
          <w:rFonts w:ascii="Times New Roman" w:hAnsi="Times New Roman" w:cs="Times New Roman"/>
          <w:sz w:val="21"/>
          <w:szCs w:val="21"/>
        </w:rPr>
        <w:t xml:space="preserve"> </w:t>
      </w:r>
      <w:r>
        <w:rPr>
          <w:rFonts w:ascii="Times New Roman" w:hAnsi="Times New Roman" w:eastAsia="Times New Roman" w:cs="Times New Roman"/>
          <w:color w:val="666666"/>
          <w:sz w:val="21"/>
          <w:szCs w:val="21"/>
          <w:lang w:val="zh-CN"/>
        </w:rPr>
        <w:t>6</w:t>
      </w:r>
      <w:r>
        <w:rPr>
          <w:rFonts w:ascii="Times New Roman" w:hAnsi="Times New Roman" w:cs="Times New Roman" w:eastAsiaTheme="minorEastAsia"/>
          <w:color w:val="666666"/>
          <w:sz w:val="21"/>
          <w:szCs w:val="21"/>
          <w:lang w:val="zh-CN"/>
        </w:rPr>
        <w:t>1</w:t>
      </w:r>
      <w:r>
        <w:rPr>
          <w:rFonts w:ascii="Times New Roman" w:hAnsi="Times New Roman" w:eastAsia="Times New Roman" w:cs="Times New Roman"/>
          <w:color w:val="666666"/>
          <w:sz w:val="21"/>
          <w:szCs w:val="21"/>
          <w:lang w:val="zh-CN"/>
        </w:rPr>
        <w:t xml:space="preserve"> of </w:t>
      </w:r>
      <w:r>
        <w:rPr>
          <w:rFonts w:ascii="Times New Roman" w:hAnsi="Times New Roman" w:cs="Times New Roman"/>
          <w:color w:val="666666"/>
          <w:sz w:val="21"/>
          <w:szCs w:val="21"/>
        </w:rPr>
        <w:t xml:space="preserve">69 </w:t>
      </w:r>
      <w:r>
        <w:rPr>
          <w:rFonts w:ascii="Times New Roman" w:hAnsi="Times New Roman" w:eastAsia="Times New Roman" w:cs="Times New Roman"/>
          <w:color w:val="666666"/>
          <w:sz w:val="21"/>
          <w:szCs w:val="21"/>
          <w:lang w:val="zh-CN"/>
        </w:rPr>
        <w:t xml:space="preserve"> strains </w:t>
      </w:r>
      <w:r>
        <w:rPr>
          <w:rFonts w:ascii="Times New Roman" w:hAnsi="Times New Roman" w:cs="Times New Roman"/>
          <w:color w:val="666666"/>
          <w:sz w:val="21"/>
          <w:szCs w:val="21"/>
        </w:rPr>
        <w:t xml:space="preserve">was </w:t>
      </w:r>
      <w:r>
        <w:rPr>
          <w:rFonts w:ascii="Times New Roman" w:hAnsi="Times New Roman" w:eastAsia="Times New Roman" w:cs="Times New Roman"/>
          <w:color w:val="666666"/>
          <w:sz w:val="21"/>
          <w:szCs w:val="21"/>
          <w:lang w:val="zh-CN"/>
        </w:rPr>
        <w:t>positive for</w:t>
      </w:r>
      <w:r>
        <w:rPr>
          <w:rFonts w:ascii="Times New Roman" w:hAnsi="Times New Roman" w:cs="Times New Roman" w:eastAsiaTheme="minorEastAsia"/>
          <w:color w:val="666666"/>
          <w:sz w:val="21"/>
          <w:szCs w:val="21"/>
          <w:lang w:val="zh-CN"/>
        </w:rPr>
        <w:t xml:space="preserve"> </w:t>
      </w:r>
      <w:r>
        <w:rPr>
          <w:rFonts w:ascii="Times New Roman" w:hAnsi="Times New Roman" w:cs="Times New Roman"/>
          <w:color w:val="666666"/>
          <w:sz w:val="21"/>
          <w:szCs w:val="21"/>
        </w:rPr>
        <w:t xml:space="preserve">CarbAcineto NP </w:t>
      </w:r>
      <w:r>
        <w:rPr>
          <w:rFonts w:ascii="Times New Roman" w:hAnsi="Times New Roman" w:eastAsia="Times New Roman" w:cs="Times New Roman"/>
          <w:color w:val="666666"/>
          <w:sz w:val="21"/>
          <w:szCs w:val="21"/>
          <w:lang w:val="zh-CN"/>
        </w:rPr>
        <w:t>experiment</w:t>
      </w:r>
      <w:r>
        <w:rPr>
          <w:rFonts w:ascii="Times New Roman" w:hAnsi="Times New Roman" w:cs="Times New Roman"/>
          <w:color w:val="666666"/>
          <w:sz w:val="21"/>
          <w:szCs w:val="21"/>
        </w:rPr>
        <w:t xml:space="preserve">. </w:t>
      </w:r>
      <w:r>
        <w:rPr>
          <w:rFonts w:ascii="Times New Roman" w:hAnsi="Times New Roman" w:eastAsia="Times New Roman" w:cs="Times New Roman"/>
          <w:color w:val="666666"/>
          <w:sz w:val="21"/>
          <w:szCs w:val="21"/>
          <w:lang w:val="zh-CN"/>
        </w:rPr>
        <w:t>5</w:t>
      </w:r>
      <w:r>
        <w:rPr>
          <w:rFonts w:ascii="Times New Roman" w:hAnsi="Times New Roman" w:cs="Times New Roman" w:eastAsiaTheme="minorEastAsia"/>
          <w:color w:val="666666"/>
          <w:sz w:val="21"/>
          <w:szCs w:val="21"/>
          <w:lang w:val="zh-CN"/>
        </w:rPr>
        <w:t>1</w:t>
      </w:r>
      <w:r>
        <w:rPr>
          <w:rFonts w:ascii="Times New Roman" w:hAnsi="Times New Roman" w:cs="Times New Roman"/>
          <w:color w:val="666666"/>
          <w:sz w:val="21"/>
          <w:szCs w:val="21"/>
        </w:rPr>
        <w:t xml:space="preserve"> of 121 in </w:t>
      </w:r>
      <w:r>
        <w:rPr>
          <w:rFonts w:ascii="Times New Roman" w:hAnsi="Times New Roman" w:eastAsia="Times New Roman" w:cs="Times New Roman"/>
          <w:i/>
          <w:color w:val="666666"/>
          <w:sz w:val="21"/>
          <w:szCs w:val="21"/>
          <w:lang w:val="zh-CN"/>
        </w:rPr>
        <w:t>A.baumannii</w:t>
      </w:r>
      <w:r>
        <w:rPr>
          <w:rFonts w:ascii="Times New Roman" w:hAnsi="Times New Roman" w:cs="Times New Roman"/>
          <w:color w:val="666666"/>
          <w:sz w:val="21"/>
          <w:szCs w:val="21"/>
        </w:rPr>
        <w:t xml:space="preserve"> </w:t>
      </w:r>
      <w:r>
        <w:rPr>
          <w:rFonts w:ascii="Times New Roman" w:hAnsi="Times New Roman" w:eastAsia="Times New Roman" w:cs="Times New Roman"/>
          <w:color w:val="666666"/>
          <w:sz w:val="21"/>
          <w:szCs w:val="21"/>
          <w:lang w:val="zh-CN"/>
        </w:rPr>
        <w:t xml:space="preserve">strains </w:t>
      </w:r>
      <w:r>
        <w:rPr>
          <w:rFonts w:ascii="Times New Roman" w:hAnsi="Times New Roman" w:cs="Times New Roman"/>
          <w:color w:val="666666"/>
          <w:sz w:val="21"/>
          <w:szCs w:val="21"/>
        </w:rPr>
        <w:t xml:space="preserve">was </w:t>
      </w:r>
      <w:r>
        <w:rPr>
          <w:rFonts w:ascii="Times New Roman" w:hAnsi="Times New Roman" w:eastAsia="Times New Roman" w:cs="Times New Roman"/>
          <w:color w:val="666666"/>
          <w:sz w:val="21"/>
          <w:szCs w:val="21"/>
          <w:lang w:val="zh-CN"/>
        </w:rPr>
        <w:t>susceptible to imipenem and meropenem</w:t>
      </w:r>
      <w:r>
        <w:rPr>
          <w:rFonts w:ascii="Times New Roman" w:hAnsi="Times New Roman" w:cs="Times New Roman"/>
          <w:color w:val="666666"/>
          <w:sz w:val="21"/>
          <w:szCs w:val="21"/>
        </w:rPr>
        <w:t xml:space="preserve">. </w:t>
      </w:r>
      <w:r>
        <w:rPr>
          <w:rFonts w:ascii="Times New Roman" w:hAnsi="Times New Roman" w:eastAsia="Times New Roman" w:cs="Times New Roman"/>
          <w:color w:val="666666"/>
          <w:sz w:val="21"/>
          <w:szCs w:val="21"/>
          <w:lang w:val="zh-CN"/>
        </w:rPr>
        <w:t>PCR showed that</w:t>
      </w:r>
      <w:r>
        <w:rPr>
          <w:rFonts w:ascii="Times New Roman" w:hAnsi="Times New Roman" w:cs="Times New Roman"/>
          <w:color w:val="666666"/>
          <w:sz w:val="21"/>
          <w:szCs w:val="21"/>
        </w:rPr>
        <w:t xml:space="preserve"> </w:t>
      </w:r>
      <w:r>
        <w:rPr>
          <w:rFonts w:ascii="Times New Roman" w:hAnsi="Times New Roman" w:eastAsia="Times New Roman" w:cs="Times New Roman"/>
          <w:color w:val="666666"/>
          <w:sz w:val="21"/>
          <w:szCs w:val="21"/>
          <w:lang w:val="zh-CN"/>
        </w:rPr>
        <w:t>OXA - 23 gene</w:t>
      </w:r>
      <w:r>
        <w:rPr>
          <w:rFonts w:ascii="Times New Roman" w:hAnsi="Times New Roman" w:cs="Times New Roman"/>
          <w:color w:val="666666"/>
          <w:sz w:val="21"/>
          <w:szCs w:val="21"/>
        </w:rPr>
        <w:t xml:space="preserve"> was negative in 49</w:t>
      </w:r>
      <w:r>
        <w:rPr>
          <w:rFonts w:ascii="Times New Roman" w:hAnsi="Times New Roman" w:eastAsia="Times New Roman" w:cs="Times New Roman"/>
          <w:color w:val="666666"/>
          <w:sz w:val="21"/>
          <w:szCs w:val="21"/>
          <w:lang w:val="zh-CN"/>
        </w:rPr>
        <w:t xml:space="preserve"> of </w:t>
      </w:r>
      <w:r>
        <w:rPr>
          <w:rFonts w:ascii="Times New Roman" w:hAnsi="Times New Roman" w:cs="Times New Roman"/>
          <w:color w:val="666666"/>
          <w:sz w:val="21"/>
          <w:szCs w:val="21"/>
        </w:rPr>
        <w:t xml:space="preserve">51 and </w:t>
      </w:r>
      <w:r>
        <w:rPr>
          <w:rFonts w:ascii="Times New Roman" w:hAnsi="Times New Roman" w:eastAsia="Times New Roman" w:cs="Times New Roman"/>
          <w:color w:val="666666"/>
          <w:sz w:val="21"/>
          <w:szCs w:val="21"/>
          <w:lang w:val="zh-CN"/>
        </w:rPr>
        <w:t>CarbAcineto NP</w:t>
      </w:r>
      <w:r>
        <w:rPr>
          <w:rFonts w:ascii="Times New Roman" w:hAnsi="Times New Roman" w:cs="Times New Roman"/>
          <w:color w:val="666666"/>
          <w:sz w:val="21"/>
          <w:szCs w:val="21"/>
        </w:rPr>
        <w:t xml:space="preserve"> was</w:t>
      </w:r>
      <w:r>
        <w:rPr>
          <w:rFonts w:ascii="Times New Roman" w:hAnsi="Times New Roman" w:eastAsia="Times New Roman" w:cs="Times New Roman"/>
          <w:color w:val="666666"/>
          <w:sz w:val="21"/>
          <w:szCs w:val="21"/>
          <w:lang w:val="zh-CN"/>
        </w:rPr>
        <w:t xml:space="preserve"> negative </w:t>
      </w:r>
      <w:r>
        <w:rPr>
          <w:rFonts w:ascii="Times New Roman" w:hAnsi="Times New Roman" w:cs="Times New Roman" w:eastAsiaTheme="minorEastAsia"/>
          <w:color w:val="666666"/>
          <w:sz w:val="21"/>
          <w:szCs w:val="21"/>
          <w:lang w:val="zh-CN"/>
        </w:rPr>
        <w:t>in</w:t>
      </w:r>
      <w:r>
        <w:rPr>
          <w:rFonts w:ascii="Times New Roman" w:hAnsi="Times New Roman" w:cs="Times New Roman"/>
          <w:color w:val="666666"/>
          <w:sz w:val="21"/>
          <w:szCs w:val="21"/>
        </w:rPr>
        <w:t xml:space="preserve"> 50 of 51 non-carbapenemase-producing </w:t>
      </w:r>
      <w:r>
        <w:rPr>
          <w:rFonts w:ascii="Times New Roman" w:hAnsi="Times New Roman" w:eastAsia="Times New Roman" w:cs="Times New Roman"/>
          <w:i/>
          <w:color w:val="666666"/>
          <w:sz w:val="21"/>
          <w:szCs w:val="21"/>
          <w:lang w:val="zh-CN"/>
        </w:rPr>
        <w:t>A.baumannii</w:t>
      </w:r>
      <w:r>
        <w:rPr>
          <w:rFonts w:ascii="Times New Roman" w:hAnsi="Times New Roman" w:eastAsia="Times New Roman" w:cs="Times New Roman"/>
          <w:sz w:val="21"/>
          <w:szCs w:val="21"/>
          <w:lang w:val="zh-CN"/>
        </w:rPr>
        <w:t xml:space="preserve"> </w:t>
      </w:r>
      <w:r>
        <w:rPr>
          <w:rFonts w:ascii="Times New Roman" w:hAnsi="Times New Roman" w:eastAsia="Times New Roman" w:cs="Times New Roman"/>
          <w:color w:val="666666"/>
          <w:sz w:val="21"/>
          <w:szCs w:val="21"/>
          <w:lang w:val="zh-CN"/>
        </w:rPr>
        <w:t>.</w:t>
      </w:r>
      <w:r>
        <w:rPr>
          <w:rFonts w:ascii="Times New Roman" w:hAnsi="Times New Roman" w:eastAsia="Tahoma" w:cs="Times New Roman"/>
          <w:color w:val="666666"/>
          <w:sz w:val="21"/>
          <w:szCs w:val="21"/>
          <w:lang w:val="zh-CN"/>
        </w:rPr>
        <w:t xml:space="preserve"> Only 1 strain is </w:t>
      </w:r>
      <w:r>
        <w:rPr>
          <w:rFonts w:ascii="Times New Roman" w:hAnsi="Times New Roman" w:eastAsia="Times New Roman" w:cs="Times New Roman"/>
          <w:color w:val="666666"/>
          <w:sz w:val="21"/>
          <w:szCs w:val="21"/>
          <w:lang w:val="zh-CN"/>
        </w:rPr>
        <w:t xml:space="preserve">susceptible </w:t>
      </w:r>
      <w:r>
        <w:rPr>
          <w:rFonts w:ascii="Times New Roman" w:hAnsi="Times New Roman" w:cs="Times New Roman"/>
          <w:i/>
          <w:color w:val="666666"/>
          <w:sz w:val="21"/>
          <w:szCs w:val="21"/>
        </w:rPr>
        <w:t xml:space="preserve"> </w:t>
      </w:r>
      <w:r>
        <w:rPr>
          <w:rFonts w:ascii="Times New Roman" w:hAnsi="Times New Roman" w:eastAsia="Times New Roman" w:cs="Times New Roman"/>
          <w:color w:val="666666"/>
          <w:sz w:val="21"/>
          <w:szCs w:val="21"/>
          <w:lang w:val="zh-CN"/>
        </w:rPr>
        <w:t>to</w:t>
      </w:r>
      <w:r>
        <w:rPr>
          <w:rFonts w:ascii="Times New Roman" w:hAnsi="Times New Roman" w:cs="Times New Roman" w:eastAsiaTheme="minorEastAsia"/>
          <w:color w:val="666666"/>
          <w:sz w:val="21"/>
          <w:szCs w:val="21"/>
          <w:lang w:val="zh-CN"/>
        </w:rPr>
        <w:t xml:space="preserve"> </w:t>
      </w:r>
      <w:r>
        <w:rPr>
          <w:rFonts w:ascii="Times New Roman" w:hAnsi="Times New Roman" w:eastAsia="Times New Roman" w:cs="Times New Roman"/>
          <w:color w:val="666666"/>
          <w:sz w:val="21"/>
          <w:szCs w:val="21"/>
          <w:lang w:val="zh-CN"/>
        </w:rPr>
        <w:t xml:space="preserve"> imipenem and resistant to meropenem, and negative for the CarbAcineto NP</w:t>
      </w:r>
      <w:r>
        <w:rPr>
          <w:rFonts w:ascii="Times New Roman" w:hAnsi="Times New Roman" w:cs="Times New Roman" w:eastAsiaTheme="majorEastAsia"/>
          <w:b/>
          <w:sz w:val="21"/>
          <w:szCs w:val="21"/>
        </w:rPr>
        <w:t xml:space="preserve"> </w:t>
      </w:r>
      <w:r>
        <w:rPr>
          <w:rFonts w:ascii="Times New Roman" w:hAnsi="Times New Roman" w:eastAsia="Times New Roman" w:cs="Times New Roman"/>
          <w:color w:val="666666"/>
          <w:sz w:val="21"/>
          <w:szCs w:val="21"/>
          <w:lang w:val="zh-CN"/>
        </w:rPr>
        <w:t>and the</w:t>
      </w:r>
      <w:r>
        <w:rPr>
          <w:rFonts w:ascii="Times New Roman" w:hAnsi="Times New Roman" w:cs="Times New Roman" w:eastAsiaTheme="minorEastAsia"/>
          <w:color w:val="666666"/>
          <w:sz w:val="21"/>
          <w:szCs w:val="21"/>
          <w:lang w:val="zh-CN"/>
        </w:rPr>
        <w:t xml:space="preserve"> OXA-23 gene was </w:t>
      </w:r>
      <w:r>
        <w:rPr>
          <w:rFonts w:ascii="Times New Roman" w:hAnsi="Times New Roman" w:eastAsia="Times New Roman" w:cs="Times New Roman"/>
          <w:color w:val="666666"/>
          <w:sz w:val="21"/>
          <w:szCs w:val="21"/>
          <w:lang w:val="zh-CN"/>
        </w:rPr>
        <w:t>positive .</w:t>
      </w:r>
      <w:r>
        <w:rPr>
          <w:rFonts w:ascii="Times New Roman" w:hAnsi="Times New Roman" w:eastAsia="Tahoma" w:cs="Times New Roman"/>
          <w:sz w:val="21"/>
          <w:szCs w:val="21"/>
          <w:lang w:val="zh-CN"/>
        </w:rPr>
        <w:t xml:space="preserve"> </w:t>
      </w:r>
      <w:r>
        <w:rPr>
          <w:rFonts w:ascii="Times New Roman" w:hAnsi="Times New Roman" w:eastAsia="Times New Roman" w:cs="Times New Roman"/>
          <w:color w:val="666666"/>
          <w:sz w:val="21"/>
          <w:szCs w:val="21"/>
          <w:lang w:val="zh-CN"/>
        </w:rPr>
        <w:t xml:space="preserve">The sensitivity and the specificity of CarbAcineto NP was </w:t>
      </w:r>
      <w:r>
        <w:rPr>
          <w:rFonts w:ascii="Times New Roman" w:hAnsi="Times New Roman" w:cs="Times New Roman" w:eastAsiaTheme="minorEastAsia"/>
          <w:color w:val="666666"/>
          <w:sz w:val="21"/>
          <w:szCs w:val="21"/>
          <w:lang w:val="zh-CN"/>
        </w:rPr>
        <w:t>86.9</w:t>
      </w:r>
      <w:r>
        <w:rPr>
          <w:rFonts w:ascii="Times New Roman" w:hAnsi="Times New Roman" w:eastAsia="Times New Roman" w:cs="Times New Roman"/>
          <w:color w:val="666666"/>
          <w:sz w:val="21"/>
          <w:szCs w:val="21"/>
          <w:lang w:val="zh-CN"/>
        </w:rPr>
        <w:t>% and  9</w:t>
      </w:r>
      <w:r>
        <w:rPr>
          <w:rFonts w:ascii="Times New Roman" w:hAnsi="Times New Roman" w:cs="Times New Roman" w:eastAsiaTheme="minorEastAsia"/>
          <w:color w:val="666666"/>
          <w:sz w:val="21"/>
          <w:szCs w:val="21"/>
          <w:lang w:val="zh-CN"/>
        </w:rPr>
        <w:t>6.2</w:t>
      </w:r>
      <w:r>
        <w:rPr>
          <w:rFonts w:ascii="Times New Roman" w:hAnsi="Times New Roman" w:eastAsia="Times New Roman" w:cs="Times New Roman"/>
          <w:color w:val="666666"/>
          <w:sz w:val="21"/>
          <w:szCs w:val="21"/>
          <w:lang w:val="zh-CN"/>
        </w:rPr>
        <w:t>% , respectively.</w:t>
      </w:r>
      <w:r>
        <w:rPr>
          <w:rFonts w:ascii="Times New Roman" w:hAnsi="Times New Roman" w:eastAsia="Tahoma" w:cs="Times New Roman"/>
          <w:sz w:val="21"/>
          <w:szCs w:val="21"/>
          <w:lang w:val="zh-CN"/>
        </w:rPr>
        <w:t xml:space="preserve"> </w:t>
      </w:r>
      <w:r>
        <w:rPr>
          <w:rFonts w:ascii="Times New Roman" w:hAnsi="Times New Roman" w:cs="Times New Roman"/>
          <w:b/>
          <w:bCs/>
          <w:color w:val="666666"/>
          <w:sz w:val="21"/>
          <w:szCs w:val="21"/>
        </w:rPr>
        <w:t xml:space="preserve">Conclusion </w:t>
      </w:r>
      <w:r>
        <w:rPr>
          <w:rFonts w:ascii="Times New Roman" w:hAnsi="Times New Roman" w:eastAsia="Times New Roman" w:cs="Times New Roman"/>
          <w:color w:val="666666"/>
          <w:sz w:val="21"/>
          <w:szCs w:val="21"/>
          <w:lang w:val="zh-CN"/>
        </w:rPr>
        <w:t xml:space="preserve"> CarbAcineto NP</w:t>
      </w:r>
      <w:r>
        <w:rPr>
          <w:rFonts w:ascii="Times New Roman" w:hAnsi="Times New Roman" w:cs="Times New Roman"/>
          <w:color w:val="666666"/>
          <w:sz w:val="21"/>
          <w:szCs w:val="21"/>
        </w:rPr>
        <w:t xml:space="preserve"> was concordance with results obtained by PCR to detect gene coding for OXA-23. The </w:t>
      </w:r>
      <w:r>
        <w:rPr>
          <w:rFonts w:ascii="Times New Roman" w:hAnsi="Times New Roman" w:eastAsia="Times New Roman" w:cs="Times New Roman"/>
          <w:color w:val="666666"/>
          <w:sz w:val="21"/>
          <w:szCs w:val="21"/>
          <w:lang w:val="zh-CN"/>
        </w:rPr>
        <w:t>CarbAcineto NP</w:t>
      </w:r>
      <w:r>
        <w:rPr>
          <w:rFonts w:ascii="Times New Roman" w:hAnsi="Times New Roman" w:cs="Times New Roman"/>
          <w:color w:val="666666"/>
          <w:sz w:val="21"/>
          <w:szCs w:val="21"/>
        </w:rPr>
        <w:t xml:space="preserve"> can d</w:t>
      </w:r>
      <w:r>
        <w:rPr>
          <w:rFonts w:ascii="Times New Roman" w:hAnsi="Times New Roman" w:eastAsia="Times New Roman" w:cs="Times New Roman"/>
          <w:color w:val="666666"/>
          <w:sz w:val="21"/>
          <w:szCs w:val="21"/>
          <w:lang w:val="zh-CN"/>
        </w:rPr>
        <w:t>etect rapidly Carbapenemase Producing in Acinetobacter Baumannii</w:t>
      </w:r>
    </w:p>
    <w:p>
      <w:pPr>
        <w:rPr>
          <w:rFonts w:ascii="Times New Roman" w:hAnsi="Times New Roman" w:eastAsia="Times New Roman" w:cs="Times New Roman"/>
          <w:color w:val="666666"/>
          <w:sz w:val="21"/>
          <w:szCs w:val="21"/>
          <w:lang w:val="zh-CN"/>
        </w:rPr>
      </w:pPr>
      <w:r>
        <w:rPr>
          <w:rFonts w:ascii="Times New Roman" w:hAnsi="Times New Roman" w:eastAsia="Times New Roman" w:cs="Times New Roman"/>
          <w:color w:val="666666"/>
          <w:sz w:val="21"/>
          <w:szCs w:val="21"/>
          <w:lang w:val="zh-CN"/>
        </w:rPr>
        <w:t xml:space="preserve"> </w:t>
      </w:r>
      <w:r>
        <w:rPr>
          <w:rFonts w:ascii="Times New Roman" w:hAnsi="Times New Roman" w:eastAsia="Times New Roman" w:cs="Times New Roman"/>
          <w:b/>
          <w:color w:val="666666"/>
          <w:sz w:val="21"/>
          <w:szCs w:val="21"/>
          <w:lang w:val="zh-CN"/>
        </w:rPr>
        <w:t>Key words</w:t>
      </w:r>
      <w:r>
        <w:rPr>
          <w:rFonts w:ascii="Times New Roman" w:hAnsi="Times New Roman" w:eastAsia="Times New Roman" w:cs="Times New Roman"/>
          <w:color w:val="666666"/>
          <w:sz w:val="21"/>
          <w:szCs w:val="21"/>
          <w:lang w:val="zh-CN"/>
        </w:rPr>
        <w:t xml:space="preserve">:  Acinetobacter Baumannii;carbapenemase; </w:t>
      </w:r>
      <w:r>
        <w:rPr>
          <w:rFonts w:hint="eastAsia" w:ascii="Times New Roman" w:hAnsi="Times New Roman" w:eastAsia="Times New Roman" w:cs="Times New Roman"/>
          <w:color w:val="666666"/>
          <w:sz w:val="21"/>
          <w:szCs w:val="21"/>
          <w:lang w:val="zh-CN"/>
        </w:rPr>
        <w:t>OXA-23 gene;</w:t>
      </w:r>
      <w:r>
        <w:rPr>
          <w:rFonts w:ascii="Times New Roman" w:hAnsi="Times New Roman" w:eastAsia="Times New Roman" w:cs="Times New Roman"/>
          <w:color w:val="666666"/>
          <w:sz w:val="21"/>
          <w:szCs w:val="21"/>
          <w:lang w:val="zh-CN"/>
        </w:rPr>
        <w:t>CarbAcineto NP</w:t>
      </w:r>
      <w:r>
        <w:rPr>
          <w:rFonts w:hint="eastAsia" w:ascii="Times New Roman" w:hAnsi="Times New Roman" w:eastAsia="Times New Roman" w:cs="Times New Roman"/>
          <w:color w:val="666666"/>
          <w:sz w:val="21"/>
          <w:szCs w:val="21"/>
          <w:lang w:val="zh-CN"/>
        </w:rPr>
        <w:t xml:space="preserve"> Method</w:t>
      </w:r>
    </w:p>
    <w:p>
      <w:pPr>
        <w:rPr>
          <w:rFonts w:hint="eastAsia" w:ascii="Times New Roman" w:hAnsi="Times New Roman" w:cs="Times New Roman"/>
          <w:b/>
          <w:color w:val="666666"/>
          <w:sz w:val="21"/>
          <w:szCs w:val="21"/>
        </w:rPr>
      </w:pPr>
    </w:p>
    <w:p>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作者：1，河北省邢台市第三医院检验科2河北医科大学第二医院检验科</w:t>
      </w:r>
    </w:p>
    <w:p>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第一作者：牛翠（1986-），女，主管检验技师，主要从事细菌耐药机制研究,联系电话：13722906212，通讯地址：河北省邢台市钢铁北路108号邢台市第三医院检验科</w:t>
      </w:r>
    </w:p>
    <w:p>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通讯作者：时东彦，shidongyan73@126.com</w:t>
      </w:r>
    </w:p>
    <w:p>
      <w:pPr>
        <w:rPr>
          <w:rFonts w:hint="eastAsia" w:ascii="宋体" w:hAnsi="宋体"/>
          <w:b/>
          <w:szCs w:val="21"/>
        </w:rPr>
      </w:pPr>
    </w:p>
    <w:p>
      <w:pPr>
        <w:rPr>
          <w:rFonts w:hint="eastAsia" w:ascii="宋体" w:hAnsi="宋体"/>
          <w:b/>
          <w:szCs w:val="21"/>
        </w:rPr>
      </w:pPr>
    </w:p>
    <w:p>
      <w:pPr>
        <w:spacing w:line="220" w:lineRule="atLeast"/>
        <w:ind w:firstLine="480"/>
        <w:rPr>
          <w:rFonts w:hint="eastAsia" w:asciiTheme="minorEastAsia" w:hAnsiTheme="minorEastAsia" w:eastAsiaTheme="minorEastAsia"/>
          <w:sz w:val="21"/>
          <w:szCs w:val="21"/>
        </w:rPr>
      </w:pPr>
    </w:p>
    <w:p>
      <w:pPr>
        <w:spacing w:line="220" w:lineRule="atLeast"/>
        <w:ind w:firstLine="480"/>
        <w:rPr>
          <w:rFonts w:hint="eastAsia" w:asciiTheme="minorEastAsia" w:hAnsiTheme="minorEastAsia" w:eastAsiaTheme="minorEastAsia"/>
          <w:sz w:val="21"/>
          <w:szCs w:val="21"/>
        </w:rPr>
      </w:pPr>
    </w:p>
    <w:p>
      <w:pPr>
        <w:spacing w:line="220" w:lineRule="atLeast"/>
        <w:ind w:firstLine="480"/>
        <w:rPr>
          <w:rFonts w:hint="eastAsia" w:asciiTheme="minorEastAsia" w:hAnsiTheme="minorEastAsia" w:eastAsiaTheme="minorEastAsia"/>
          <w:sz w:val="21"/>
          <w:szCs w:val="21"/>
        </w:rPr>
      </w:pPr>
    </w:p>
    <w:p>
      <w:pPr>
        <w:spacing w:line="220" w:lineRule="atLeast"/>
        <w:ind w:firstLine="480"/>
        <w:rPr>
          <w:rFonts w:hint="eastAsia" w:asciiTheme="minorEastAsia" w:hAnsiTheme="minorEastAsia" w:eastAsiaTheme="minorEastAsia"/>
          <w:sz w:val="21"/>
          <w:szCs w:val="21"/>
        </w:rPr>
      </w:pPr>
    </w:p>
    <w:p>
      <w:pPr>
        <w:spacing w:line="220" w:lineRule="atLeast"/>
        <w:ind w:firstLine="480"/>
        <w:rPr>
          <w:rFonts w:hint="eastAsia" w:asciiTheme="minorEastAsia" w:hAnsiTheme="minorEastAsia" w:eastAsiaTheme="minorEastAsia"/>
          <w:sz w:val="21"/>
          <w:szCs w:val="21"/>
        </w:rPr>
      </w:pPr>
    </w:p>
    <w:p>
      <w:pPr>
        <w:spacing w:line="220" w:lineRule="atLeast"/>
        <w:ind w:firstLine="480"/>
        <w:rPr>
          <w:rFonts w:hint="eastAsia" w:asciiTheme="minorEastAsia" w:hAnsiTheme="minorEastAsia" w:eastAsiaTheme="minorEastAsia"/>
          <w:sz w:val="21"/>
          <w:szCs w:val="21"/>
        </w:rPr>
      </w:pPr>
    </w:p>
    <w:p>
      <w:pPr>
        <w:spacing w:line="220" w:lineRule="atLeast"/>
        <w:ind w:firstLine="480"/>
        <w:rPr>
          <w:rFonts w:hint="eastAsia" w:asciiTheme="minorEastAsia" w:hAnsiTheme="minorEastAsia" w:eastAsiaTheme="minorEastAsia"/>
          <w:sz w:val="21"/>
          <w:szCs w:val="21"/>
        </w:rPr>
      </w:pPr>
      <w:r>
        <w:rPr>
          <w:rFonts w:asciiTheme="minorEastAsia" w:hAnsiTheme="minorEastAsia" w:eastAsiaTheme="minorEastAsia"/>
          <w:sz w:val="21"/>
          <w:szCs w:val="21"/>
        </w:rPr>
        <w:t>鲍曼不动杆菌(</w:t>
      </w:r>
      <w:r>
        <w:rPr>
          <w:rFonts w:asciiTheme="minorEastAsia" w:hAnsiTheme="minorEastAsia" w:eastAsiaTheme="minorEastAsia"/>
          <w:i/>
          <w:sz w:val="21"/>
          <w:szCs w:val="21"/>
        </w:rPr>
        <w:t>Acinetobacter baumannii</w:t>
      </w:r>
      <w:r>
        <w:rPr>
          <w:rFonts w:asciiTheme="minorEastAsia" w:hAnsiTheme="minorEastAsia" w:eastAsiaTheme="minorEastAsia"/>
          <w:sz w:val="21"/>
          <w:szCs w:val="21"/>
        </w:rPr>
        <w:t>)属于革兰氏阴性球杆菌，是医院内重要的机会致病菌</w:t>
      </w:r>
      <w:r>
        <w:rPr>
          <w:rFonts w:hint="eastAsia" w:asciiTheme="minorEastAsia" w:hAnsiTheme="minorEastAsia" w:eastAsiaTheme="minorEastAsia"/>
          <w:sz w:val="21"/>
          <w:szCs w:val="21"/>
        </w:rPr>
        <w:t>，</w:t>
      </w:r>
      <w:r>
        <w:rPr>
          <w:rFonts w:asciiTheme="minorEastAsia" w:hAnsiTheme="minorEastAsia" w:eastAsiaTheme="minorEastAsia"/>
          <w:sz w:val="21"/>
          <w:szCs w:val="21"/>
        </w:rPr>
        <w:t>鲍曼不动杆菌被美国感染病协会划分为世界医院范围内六大最重要的多重耐药细菌之一。尤其在免疫力低下的患者中，可以引起严重的甚至致死性的感染，如败血症、呼吸机相关肺炎、泌尿系统感染、脑膜炎等。通常，碳青霉烯类药物做为治疗多重耐药的鲍曼不动杆菌的最后选择，但是由于这类药物的广泛和大量应用，导致对碳青霉烯类也产生了耐药。因此尽快检测耐碳青霉烯类的鲍曼不动杆菌，可以及早为临床提供准确的耐药机制，为临床选择合适的抗生素，减少医疗消耗，减少耐药株的传播提供有效服务</w:t>
      </w:r>
      <w:r>
        <w:rPr>
          <w:rFonts w:hint="eastAsia" w:asciiTheme="minorEastAsia" w:hAnsiTheme="minorEastAsia" w:eastAsiaTheme="minorEastAsia"/>
          <w:sz w:val="21"/>
          <w:szCs w:val="21"/>
        </w:rPr>
        <w:t>。</w:t>
      </w:r>
    </w:p>
    <w:p>
      <w:pPr>
        <w:rPr>
          <w:rFonts w:hint="eastAsia" w:ascii="宋体" w:hAnsi="宋体"/>
          <w:b/>
          <w:szCs w:val="21"/>
        </w:rPr>
      </w:pPr>
    </w:p>
    <w:p>
      <w:pPr>
        <w:rPr>
          <w:rFonts w:hint="eastAsia" w:eastAsia="Times New Roman"/>
          <w:b/>
          <w:szCs w:val="21"/>
          <w:lang w:val="zh-CN"/>
        </w:rPr>
      </w:pPr>
      <w:r>
        <w:rPr>
          <w:rFonts w:hint="eastAsia" w:ascii="宋体" w:hAnsi="宋体"/>
          <w:b/>
          <w:szCs w:val="21"/>
        </w:rPr>
        <w:t>1.</w:t>
      </w:r>
      <w:r>
        <w:rPr>
          <w:rFonts w:hint="eastAsia" w:ascii="宋体" w:hAnsi="宋体"/>
          <w:b/>
          <w:szCs w:val="21"/>
          <w:lang w:val="zh-CN"/>
        </w:rPr>
        <w:t>材料和方法</w:t>
      </w:r>
    </w:p>
    <w:p>
      <w:pPr>
        <w:ind w:left="360" w:hanging="360"/>
        <w:rPr>
          <w:rFonts w:eastAsia="Tahoma"/>
          <w:szCs w:val="21"/>
          <w:lang w:val="zh-CN"/>
        </w:rPr>
      </w:pPr>
      <w:r>
        <w:rPr>
          <w:rFonts w:hint="eastAsia" w:ascii="宋体" w:hAnsi="宋体"/>
          <w:szCs w:val="21"/>
        </w:rPr>
        <w:t>1.1</w:t>
      </w:r>
      <w:r>
        <w:rPr>
          <w:rFonts w:hint="eastAsia" w:ascii="宋体" w:hAnsi="宋体"/>
          <w:szCs w:val="21"/>
          <w:lang w:val="zh-CN"/>
        </w:rPr>
        <w:t>材料</w:t>
      </w:r>
    </w:p>
    <w:p>
      <w:pP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1.1</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zh-CN"/>
        </w:rPr>
        <w:t>菌株来源</w:t>
      </w:r>
      <w:r>
        <w:rPr>
          <w:rFonts w:asciiTheme="minorEastAsia" w:hAnsiTheme="minorEastAsia" w:eastAsiaTheme="minorEastAsia"/>
          <w:sz w:val="21"/>
          <w:szCs w:val="21"/>
          <w:lang w:val="zh-CN"/>
        </w:rPr>
        <w:t xml:space="preserve">  </w:t>
      </w:r>
    </w:p>
    <w:p>
      <w:pPr>
        <w:rPr>
          <w:rFonts w:asciiTheme="minorEastAsia" w:hAnsiTheme="minorEastAsia" w:eastAsiaTheme="minorEastAsia"/>
          <w:color w:val="FF0000"/>
          <w:sz w:val="21"/>
          <w:szCs w:val="21"/>
          <w:lang w:val="zh-CN"/>
        </w:rPr>
      </w:pPr>
      <w:r>
        <w:rPr>
          <w:rFonts w:hint="eastAsia" w:asciiTheme="minorEastAsia" w:hAnsiTheme="minorEastAsia" w:eastAsiaTheme="minorEastAsia"/>
          <w:sz w:val="21"/>
          <w:szCs w:val="21"/>
        </w:rPr>
        <w:t xml:space="preserve">    选择</w:t>
      </w:r>
      <w:r>
        <w:rPr>
          <w:rFonts w:hint="eastAsia" w:asciiTheme="minorEastAsia" w:hAnsiTheme="minorEastAsia" w:eastAsiaTheme="minorEastAsia"/>
          <w:sz w:val="21"/>
          <w:szCs w:val="21"/>
          <w:lang w:val="zh-CN"/>
        </w:rPr>
        <w:t>河北</w:t>
      </w:r>
      <w:r>
        <w:rPr>
          <w:rFonts w:hint="eastAsia" w:asciiTheme="minorEastAsia" w:hAnsiTheme="minorEastAsia" w:eastAsiaTheme="minorEastAsia"/>
          <w:sz w:val="21"/>
          <w:szCs w:val="21"/>
        </w:rPr>
        <w:t>医科大学第二医院</w:t>
      </w:r>
      <w:r>
        <w:rPr>
          <w:rFonts w:asciiTheme="minorEastAsia" w:hAnsiTheme="minorEastAsia" w:eastAsiaTheme="minorEastAsia"/>
          <w:sz w:val="21"/>
          <w:szCs w:val="21"/>
          <w:lang w:val="zh-CN"/>
        </w:rPr>
        <w:t>2015</w:t>
      </w:r>
      <w:r>
        <w:rPr>
          <w:rFonts w:hint="eastAsia" w:asciiTheme="minorEastAsia" w:hAnsiTheme="minorEastAsia" w:eastAsiaTheme="minorEastAsia"/>
          <w:sz w:val="21"/>
          <w:szCs w:val="21"/>
          <w:lang w:val="zh-CN"/>
        </w:rPr>
        <w:t>年</w:t>
      </w:r>
      <w:r>
        <w:rPr>
          <w:rFonts w:asciiTheme="minorEastAsia" w:hAnsiTheme="minorEastAsia" w:eastAsiaTheme="minorEastAsia"/>
          <w:sz w:val="21"/>
          <w:szCs w:val="21"/>
          <w:lang w:val="zh-CN"/>
        </w:rPr>
        <w:t>5</w:t>
      </w:r>
      <w:r>
        <w:rPr>
          <w:rFonts w:hint="eastAsia" w:asciiTheme="minorEastAsia" w:hAnsiTheme="minorEastAsia" w:eastAsiaTheme="minorEastAsia"/>
          <w:sz w:val="21"/>
          <w:szCs w:val="21"/>
          <w:lang w:val="zh-CN"/>
        </w:rPr>
        <w:t>月</w:t>
      </w:r>
      <w:r>
        <w:rPr>
          <w:rFonts w:asciiTheme="minorEastAsia" w:hAnsiTheme="minorEastAsia" w:eastAsiaTheme="minorEastAsia"/>
          <w:sz w:val="21"/>
          <w:szCs w:val="21"/>
          <w:lang w:val="zh-CN"/>
        </w:rPr>
        <w:t>- 6</w:t>
      </w:r>
      <w:r>
        <w:rPr>
          <w:rFonts w:hint="eastAsia" w:asciiTheme="minorEastAsia" w:hAnsiTheme="minorEastAsia" w:eastAsiaTheme="minorEastAsia"/>
          <w:sz w:val="21"/>
          <w:szCs w:val="21"/>
          <w:lang w:val="zh-CN"/>
        </w:rPr>
        <w:t>月和邢台市第三医院</w:t>
      </w:r>
      <w:r>
        <w:rPr>
          <w:rFonts w:asciiTheme="minorEastAsia" w:hAnsiTheme="minorEastAsia" w:eastAsiaTheme="minorEastAsia"/>
          <w:sz w:val="21"/>
          <w:szCs w:val="21"/>
          <w:lang w:val="zh-CN"/>
        </w:rPr>
        <w:t>2014</w:t>
      </w:r>
      <w:r>
        <w:rPr>
          <w:rFonts w:hint="eastAsia" w:asciiTheme="minorEastAsia" w:hAnsiTheme="minorEastAsia" w:eastAsiaTheme="minorEastAsia"/>
          <w:sz w:val="21"/>
          <w:szCs w:val="21"/>
          <w:lang w:val="zh-CN"/>
        </w:rPr>
        <w:t>年</w:t>
      </w:r>
      <w:r>
        <w:rPr>
          <w:rFonts w:asciiTheme="minorEastAsia" w:hAnsiTheme="minorEastAsia" w:eastAsiaTheme="minorEastAsia"/>
          <w:sz w:val="21"/>
          <w:szCs w:val="21"/>
          <w:lang w:val="zh-CN"/>
        </w:rPr>
        <w:t>1</w:t>
      </w:r>
      <w:r>
        <w:rPr>
          <w:rFonts w:hint="eastAsia" w:asciiTheme="minorEastAsia" w:hAnsiTheme="minorEastAsia" w:eastAsiaTheme="minorEastAsia"/>
          <w:sz w:val="21"/>
          <w:szCs w:val="21"/>
          <w:lang w:val="zh-CN"/>
        </w:rPr>
        <w:t>月</w:t>
      </w:r>
      <w:r>
        <w:rPr>
          <w:rFonts w:asciiTheme="minorEastAsia" w:hAnsiTheme="minorEastAsia" w:eastAsiaTheme="minorEastAsia"/>
          <w:sz w:val="21"/>
          <w:szCs w:val="21"/>
          <w:lang w:val="zh-CN"/>
        </w:rPr>
        <w:t>-2015</w:t>
      </w:r>
      <w:r>
        <w:rPr>
          <w:rFonts w:hint="eastAsia" w:asciiTheme="minorEastAsia" w:hAnsiTheme="minorEastAsia" w:eastAsiaTheme="minorEastAsia"/>
          <w:sz w:val="21"/>
          <w:szCs w:val="21"/>
          <w:lang w:val="zh-CN"/>
        </w:rPr>
        <w:t>年</w:t>
      </w:r>
      <w:r>
        <w:rPr>
          <w:rFonts w:asciiTheme="minorEastAsia" w:hAnsiTheme="minorEastAsia" w:eastAsiaTheme="minorEastAsia"/>
          <w:sz w:val="21"/>
          <w:szCs w:val="21"/>
          <w:lang w:val="zh-CN"/>
        </w:rPr>
        <w:t>6</w:t>
      </w:r>
      <w:r>
        <w:rPr>
          <w:rFonts w:hint="eastAsia" w:asciiTheme="minorEastAsia" w:hAnsiTheme="minorEastAsia" w:eastAsiaTheme="minorEastAsia"/>
          <w:sz w:val="21"/>
          <w:szCs w:val="21"/>
          <w:lang w:val="zh-CN"/>
        </w:rPr>
        <w:t>月从临床标本分离所得的非重复耐碳青霉烯类抗生素的鲍曼不动杆菌菌株共计</w:t>
      </w:r>
      <w:r>
        <w:rPr>
          <w:rFonts w:asciiTheme="minorEastAsia" w:hAnsiTheme="minorEastAsia" w:eastAsiaTheme="minorEastAsia"/>
          <w:sz w:val="21"/>
          <w:szCs w:val="21"/>
          <w:lang w:val="zh-CN"/>
        </w:rPr>
        <w:t>121</w:t>
      </w:r>
      <w:r>
        <w:rPr>
          <w:rFonts w:hint="eastAsia" w:asciiTheme="minorEastAsia" w:hAnsiTheme="minorEastAsia" w:eastAsiaTheme="minorEastAsia"/>
          <w:sz w:val="21"/>
          <w:szCs w:val="21"/>
          <w:lang w:val="zh-CN"/>
        </w:rPr>
        <w:t>株，全部菌株</w:t>
      </w:r>
      <w:r>
        <w:rPr>
          <w:rFonts w:hint="eastAsia" w:asciiTheme="minorEastAsia" w:hAnsiTheme="minorEastAsia" w:eastAsiaTheme="minorEastAsia"/>
          <w:sz w:val="21"/>
          <w:szCs w:val="21"/>
        </w:rPr>
        <w:t>均采用VITEK COMPACT全自动细菌鉴定药敏鉴定仪进行验证。菌株采用</w:t>
      </w:r>
      <w:r>
        <w:rPr>
          <w:rFonts w:hint="eastAsia" w:asciiTheme="minorEastAsia" w:hAnsiTheme="minorEastAsia" w:eastAsiaTheme="minorEastAsia"/>
          <w:sz w:val="21"/>
          <w:szCs w:val="21"/>
          <w:lang w:val="zh-CN"/>
        </w:rPr>
        <w:t>无菌纸片</w:t>
      </w:r>
      <w:r>
        <w:rPr>
          <w:rFonts w:asciiTheme="minorEastAsia" w:hAnsiTheme="minorEastAsia" w:eastAsiaTheme="minorEastAsia"/>
          <w:sz w:val="21"/>
          <w:szCs w:val="21"/>
          <w:lang w:val="zh-CN"/>
        </w:rPr>
        <w:t>-20℃</w:t>
      </w:r>
      <w:r>
        <w:rPr>
          <w:rFonts w:hint="eastAsia" w:asciiTheme="minorEastAsia" w:hAnsiTheme="minorEastAsia" w:eastAsiaTheme="minorEastAsia"/>
          <w:sz w:val="21"/>
          <w:szCs w:val="21"/>
          <w:lang w:val="zh-CN"/>
        </w:rPr>
        <w:t>低温保存。</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val="zh-CN"/>
        </w:rPr>
        <w:t>选取肺炎克雷伯菌</w:t>
      </w:r>
      <w:r>
        <w:rPr>
          <w:rFonts w:asciiTheme="minorEastAsia" w:hAnsiTheme="minorEastAsia" w:eastAsiaTheme="minorEastAsia"/>
          <w:sz w:val="21"/>
          <w:szCs w:val="21"/>
          <w:lang w:val="zh-CN"/>
        </w:rPr>
        <w:t>ATCC</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lang w:val="zh-CN"/>
        </w:rPr>
        <w:t>BAA-1705</w:t>
      </w:r>
      <w:r>
        <w:rPr>
          <w:rFonts w:hint="eastAsia" w:asciiTheme="minorEastAsia" w:hAnsiTheme="minorEastAsia" w:eastAsiaTheme="minorEastAsia"/>
          <w:sz w:val="21"/>
          <w:szCs w:val="21"/>
          <w:lang w:val="zh-CN"/>
        </w:rPr>
        <w:t>碳青霉烯酶阳性对照质控菌株，肺炎克雷伯菌</w:t>
      </w:r>
      <w:r>
        <w:rPr>
          <w:rFonts w:asciiTheme="minorEastAsia" w:hAnsiTheme="minorEastAsia" w:eastAsiaTheme="minorEastAsia"/>
          <w:sz w:val="21"/>
          <w:szCs w:val="21"/>
          <w:lang w:val="zh-CN"/>
        </w:rPr>
        <w:t>ATCC</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lang w:val="zh-CN"/>
        </w:rPr>
        <w:t>BAA-1706</w:t>
      </w:r>
      <w:r>
        <w:rPr>
          <w:rFonts w:hint="eastAsia" w:asciiTheme="minorEastAsia" w:hAnsiTheme="minorEastAsia" w:eastAsiaTheme="minorEastAsia"/>
          <w:sz w:val="21"/>
          <w:szCs w:val="21"/>
          <w:lang w:val="zh-CN"/>
        </w:rPr>
        <w:t>碳青霉烯酶阴性对照质控菌株，</w:t>
      </w:r>
      <w:bookmarkStart w:id="2" w:name="OLE_LINK1"/>
      <w:bookmarkStart w:id="3" w:name="OLE_LINK2"/>
      <w:r>
        <w:rPr>
          <w:rFonts w:hint="eastAsia" w:asciiTheme="minorEastAsia" w:hAnsiTheme="minorEastAsia" w:eastAsiaTheme="minorEastAsia"/>
          <w:sz w:val="21"/>
          <w:szCs w:val="21"/>
        </w:rPr>
        <w:t>药敏质控菌株</w:t>
      </w:r>
      <w:r>
        <w:rPr>
          <w:rFonts w:hint="eastAsia" w:asciiTheme="minorEastAsia" w:hAnsiTheme="minorEastAsia" w:eastAsiaTheme="minorEastAsia"/>
          <w:sz w:val="21"/>
          <w:szCs w:val="21"/>
          <w:lang w:val="zh-CN"/>
        </w:rPr>
        <w:t>大肠埃希氏菌</w:t>
      </w:r>
      <w:r>
        <w:rPr>
          <w:rFonts w:asciiTheme="minorEastAsia" w:hAnsiTheme="minorEastAsia" w:eastAsiaTheme="minorEastAsia"/>
          <w:sz w:val="21"/>
          <w:szCs w:val="21"/>
          <w:lang w:val="zh-CN"/>
        </w:rPr>
        <w:t>ATCC</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lang w:val="zh-CN"/>
        </w:rPr>
        <w:t>2592</w:t>
      </w:r>
      <w:r>
        <w:rPr>
          <w:rFonts w:hint="eastAsia" w:asciiTheme="minorEastAsia" w:hAnsiTheme="minorEastAsia" w:eastAsiaTheme="minorEastAsia"/>
          <w:sz w:val="21"/>
          <w:szCs w:val="21"/>
        </w:rPr>
        <w:t>2。</w:t>
      </w:r>
    </w:p>
    <w:bookmarkEnd w:id="2"/>
    <w:bookmarkEnd w:id="3"/>
    <w:p>
      <w:pPr>
        <w:rPr>
          <w:rFonts w:eastAsia="Tahoma"/>
          <w:szCs w:val="21"/>
          <w:lang w:val="zh-CN"/>
        </w:rPr>
      </w:pPr>
      <w:r>
        <w:rPr>
          <w:rFonts w:eastAsia="Tahoma"/>
          <w:szCs w:val="21"/>
          <w:lang w:val="zh-CN"/>
        </w:rPr>
        <w:t>1.</w:t>
      </w:r>
      <w:r>
        <w:rPr>
          <w:rFonts w:hint="eastAsia"/>
          <w:szCs w:val="21"/>
        </w:rPr>
        <w:t>1.</w:t>
      </w:r>
      <w:r>
        <w:rPr>
          <w:rFonts w:eastAsia="Tahoma"/>
          <w:szCs w:val="21"/>
          <w:lang w:val="zh-CN"/>
        </w:rPr>
        <w:t>2</w:t>
      </w:r>
      <w:r>
        <w:rPr>
          <w:rFonts w:hint="eastAsia" w:ascii="宋体" w:hAnsi="宋体"/>
          <w:szCs w:val="21"/>
          <w:lang w:val="zh-CN"/>
        </w:rPr>
        <w:t>仪器</w:t>
      </w:r>
      <w:r>
        <w:rPr>
          <w:rFonts w:eastAsia="Tahoma"/>
          <w:szCs w:val="21"/>
          <w:lang w:val="zh-CN"/>
        </w:rPr>
        <w:t xml:space="preserve"> </w:t>
      </w:r>
    </w:p>
    <w:p>
      <w:pPr>
        <w:ind w:firstLine="278"/>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 xml:space="preserve"> VITEK2</w:t>
      </w:r>
      <w:r>
        <w:rPr>
          <w:rFonts w:hint="eastAsia" w:asciiTheme="minorEastAsia" w:hAnsiTheme="minorEastAsia" w:eastAsiaTheme="minorEastAsia"/>
          <w:sz w:val="21"/>
          <w:szCs w:val="21"/>
          <w:lang w:val="zh-CN"/>
        </w:rPr>
        <w:t>全自动细菌鉴定仪</w:t>
      </w:r>
      <w:r>
        <w:rPr>
          <w:rFonts w:asciiTheme="minorEastAsia" w:hAnsiTheme="minorEastAsia" w:eastAsiaTheme="minorEastAsia"/>
          <w:sz w:val="21"/>
          <w:szCs w:val="21"/>
          <w:lang w:val="zh-CN"/>
        </w:rPr>
        <w:t>(</w:t>
      </w:r>
      <w:r>
        <w:rPr>
          <w:rFonts w:hint="eastAsia" w:asciiTheme="minorEastAsia" w:hAnsiTheme="minorEastAsia" w:eastAsiaTheme="minorEastAsia"/>
          <w:sz w:val="21"/>
          <w:szCs w:val="21"/>
          <w:lang w:val="zh-CN"/>
        </w:rPr>
        <w:t>法国生物梅里埃公司产品</w:t>
      </w:r>
      <w:r>
        <w:rPr>
          <w:rFonts w:asciiTheme="minorEastAsia" w:hAnsiTheme="minorEastAsia" w:eastAsiaTheme="minorEastAsia"/>
          <w:sz w:val="21"/>
          <w:szCs w:val="21"/>
          <w:lang w:val="zh-CN"/>
        </w:rPr>
        <w:t>)</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 xml:space="preserve"> GeneAmpPCRsystem 2400</w:t>
      </w:r>
      <w:r>
        <w:rPr>
          <w:rFonts w:hint="eastAsia" w:asciiTheme="minorEastAsia" w:hAnsiTheme="minorEastAsia" w:eastAsiaTheme="minorEastAsia"/>
          <w:sz w:val="21"/>
          <w:szCs w:val="21"/>
          <w:lang w:val="zh-CN"/>
        </w:rPr>
        <w:t>热循环仪（美国</w:t>
      </w:r>
      <w:r>
        <w:rPr>
          <w:rFonts w:asciiTheme="minorEastAsia" w:hAnsiTheme="minorEastAsia" w:eastAsiaTheme="minorEastAsia"/>
          <w:sz w:val="21"/>
          <w:szCs w:val="21"/>
          <w:lang w:val="zh-CN"/>
        </w:rPr>
        <w:t>Applied Biosystems Inc.</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 xml:space="preserve">ID Scientific </w:t>
      </w:r>
      <w:r>
        <w:rPr>
          <w:rFonts w:hint="eastAsia" w:asciiTheme="minorEastAsia" w:hAnsiTheme="minorEastAsia" w:eastAsiaTheme="minorEastAsia"/>
          <w:sz w:val="21"/>
          <w:szCs w:val="21"/>
          <w:lang w:val="zh-CN"/>
        </w:rPr>
        <w:t>自动凝胶成像系统（美国</w:t>
      </w:r>
      <w:r>
        <w:rPr>
          <w:rFonts w:asciiTheme="minorEastAsia" w:hAnsiTheme="minorEastAsia" w:eastAsiaTheme="minorEastAsia"/>
          <w:sz w:val="21"/>
          <w:szCs w:val="21"/>
          <w:lang w:val="zh-CN"/>
        </w:rPr>
        <w:t xml:space="preserve"> Kodak Inc.</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Premix Taq</w:t>
      </w:r>
      <w:r>
        <w:rPr>
          <w:rFonts w:hint="eastAsia" w:asciiTheme="minorEastAsia" w:hAnsiTheme="minorEastAsia" w:eastAsiaTheme="minorEastAsia"/>
          <w:sz w:val="21"/>
          <w:szCs w:val="21"/>
          <w:lang w:val="zh-CN"/>
        </w:rPr>
        <w:t>酶</w:t>
      </w:r>
      <w:r>
        <w:rPr>
          <w:rFonts w:asciiTheme="minorEastAsia" w:hAnsiTheme="minorEastAsia" w:eastAsiaTheme="minorEastAsia"/>
          <w:sz w:val="21"/>
          <w:szCs w:val="21"/>
          <w:lang w:val="zh-CN"/>
        </w:rPr>
        <w:t>(</w:t>
      </w:r>
      <w:r>
        <w:rPr>
          <w:rFonts w:hint="eastAsia" w:asciiTheme="minorEastAsia" w:hAnsiTheme="minorEastAsia" w:eastAsiaTheme="minorEastAsia"/>
          <w:sz w:val="21"/>
          <w:szCs w:val="21"/>
          <w:lang w:val="zh-CN"/>
        </w:rPr>
        <w:t>大连</w:t>
      </w:r>
      <w:r>
        <w:rPr>
          <w:rFonts w:asciiTheme="minorEastAsia" w:hAnsiTheme="minorEastAsia" w:eastAsiaTheme="minorEastAsia"/>
          <w:sz w:val="21"/>
          <w:szCs w:val="21"/>
          <w:lang w:val="zh-CN"/>
        </w:rPr>
        <w:t>Takara</w:t>
      </w:r>
      <w:r>
        <w:rPr>
          <w:rFonts w:hint="eastAsia" w:asciiTheme="minorEastAsia" w:hAnsiTheme="minorEastAsia" w:eastAsiaTheme="minorEastAsia"/>
          <w:sz w:val="21"/>
          <w:szCs w:val="21"/>
          <w:lang w:val="zh-CN"/>
        </w:rPr>
        <w:t>公司</w:t>
      </w:r>
      <w:r>
        <w:rPr>
          <w:rFonts w:asciiTheme="minorEastAsia" w:hAnsiTheme="minorEastAsia" w:eastAsiaTheme="minorEastAsia"/>
          <w:sz w:val="21"/>
          <w:szCs w:val="21"/>
          <w:lang w:val="zh-CN"/>
        </w:rPr>
        <w:t>)</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DNA Marker DL2000(</w:t>
      </w:r>
      <w:r>
        <w:rPr>
          <w:rFonts w:hint="eastAsia" w:asciiTheme="minorEastAsia" w:hAnsiTheme="minorEastAsia" w:eastAsiaTheme="minorEastAsia"/>
          <w:sz w:val="21"/>
          <w:szCs w:val="21"/>
          <w:lang w:val="zh-CN"/>
        </w:rPr>
        <w:t>大连</w:t>
      </w:r>
      <w:r>
        <w:rPr>
          <w:rFonts w:asciiTheme="minorEastAsia" w:hAnsiTheme="minorEastAsia" w:eastAsiaTheme="minorEastAsia"/>
          <w:sz w:val="21"/>
          <w:szCs w:val="21"/>
          <w:lang w:val="zh-CN"/>
        </w:rPr>
        <w:t>Takara</w:t>
      </w:r>
      <w:r>
        <w:rPr>
          <w:rFonts w:hint="eastAsia" w:asciiTheme="minorEastAsia" w:hAnsiTheme="minorEastAsia" w:eastAsiaTheme="minorEastAsia"/>
          <w:sz w:val="21"/>
          <w:szCs w:val="21"/>
          <w:lang w:val="zh-CN"/>
        </w:rPr>
        <w:t>公司</w:t>
      </w:r>
      <w:r>
        <w:rPr>
          <w:rFonts w:asciiTheme="minorEastAsia" w:hAnsiTheme="minorEastAsia" w:eastAsiaTheme="minorEastAsia"/>
          <w:sz w:val="21"/>
          <w:szCs w:val="21"/>
          <w:lang w:val="zh-CN"/>
        </w:rPr>
        <w:t>)</w:t>
      </w:r>
      <w:r>
        <w:rPr>
          <w:rFonts w:hint="eastAsia" w:asciiTheme="minorEastAsia" w:hAnsiTheme="minorEastAsia" w:eastAsiaTheme="minorEastAsia"/>
          <w:sz w:val="21"/>
          <w:szCs w:val="21"/>
          <w:lang w:val="zh-CN"/>
        </w:rPr>
        <w:t>；琼脂糖（美国</w:t>
      </w:r>
      <w:r>
        <w:rPr>
          <w:rFonts w:asciiTheme="minorEastAsia" w:hAnsiTheme="minorEastAsia" w:eastAsiaTheme="minorEastAsia"/>
          <w:sz w:val="21"/>
          <w:szCs w:val="21"/>
          <w:lang w:val="zh-CN"/>
        </w:rPr>
        <w:t>Hydra Gene</w:t>
      </w:r>
      <w:r>
        <w:rPr>
          <w:rFonts w:hint="eastAsia" w:asciiTheme="minorEastAsia" w:hAnsiTheme="minorEastAsia" w:eastAsiaTheme="minorEastAsia"/>
          <w:sz w:val="21"/>
          <w:szCs w:val="21"/>
          <w:lang w:val="zh-CN"/>
        </w:rPr>
        <w:t>公司）；</w:t>
      </w:r>
      <w:r>
        <w:rPr>
          <w:rFonts w:asciiTheme="minorEastAsia" w:hAnsiTheme="minorEastAsia" w:eastAsiaTheme="minorEastAsia"/>
          <w:sz w:val="21"/>
          <w:szCs w:val="21"/>
          <w:lang w:val="zh-CN"/>
        </w:rPr>
        <w:t>Goldviw</w:t>
      </w:r>
      <w:r>
        <w:rPr>
          <w:rFonts w:hint="eastAsia" w:asciiTheme="minorEastAsia" w:hAnsiTheme="minorEastAsia" w:eastAsiaTheme="minorEastAsia"/>
          <w:sz w:val="21"/>
          <w:szCs w:val="21"/>
          <w:lang w:val="zh-CN"/>
        </w:rPr>
        <w:t>显影液（北京赛百盛生物技术公司）；</w:t>
      </w:r>
      <w:r>
        <w:rPr>
          <w:rFonts w:asciiTheme="minorEastAsia" w:hAnsiTheme="minorEastAsia" w:eastAsiaTheme="minorEastAsia"/>
          <w:sz w:val="21"/>
          <w:szCs w:val="21"/>
          <w:lang w:val="zh-CN"/>
        </w:rPr>
        <w:t>电热恒温水浴锅（山西省文水医疗器械厂）</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涡旋振荡器（</w:t>
      </w:r>
      <w:r>
        <w:fldChar w:fldCharType="begin"/>
      </w:r>
      <w:r>
        <w:instrText xml:space="preserve"> HYPERLINK "http://deer81.wjw.cn/" \t "_blank" </w:instrText>
      </w:r>
      <w:r>
        <w:fldChar w:fldCharType="separate"/>
      </w:r>
      <w:r>
        <w:rPr>
          <w:rFonts w:asciiTheme="minorEastAsia" w:hAnsiTheme="minorEastAsia" w:eastAsiaTheme="minorEastAsia"/>
          <w:sz w:val="21"/>
          <w:szCs w:val="21"/>
          <w:lang w:val="zh-CN"/>
        </w:rPr>
        <w:t>杭州雷琪实验器材有限公司</w:t>
      </w:r>
      <w:r>
        <w:rPr>
          <w:rFonts w:asciiTheme="minorEastAsia" w:hAnsiTheme="minorEastAsia" w:eastAsiaTheme="minorEastAsia"/>
          <w:sz w:val="21"/>
          <w:szCs w:val="21"/>
          <w:lang w:val="zh-CN"/>
        </w:rPr>
        <w:fldChar w:fldCharType="end"/>
      </w:r>
      <w:r>
        <w:rPr>
          <w:rFonts w:asciiTheme="minorEastAsia" w:hAnsiTheme="minorEastAsia" w:eastAsiaTheme="minorEastAsia"/>
          <w:sz w:val="21"/>
          <w:szCs w:val="21"/>
          <w:lang w:val="zh-CN"/>
        </w:rPr>
        <w:t>）</w:t>
      </w:r>
      <w:r>
        <w:rPr>
          <w:rFonts w:hint="eastAsia" w:asciiTheme="minorEastAsia" w:hAnsiTheme="minorEastAsia" w:eastAsiaTheme="minorEastAsia"/>
          <w:sz w:val="21"/>
          <w:szCs w:val="21"/>
          <w:lang w:val="zh-CN"/>
        </w:rPr>
        <w:t>。</w:t>
      </w:r>
    </w:p>
    <w:p>
      <w:pPr>
        <w:rPr>
          <w:rFonts w:hint="eastAsia" w:ascii="宋体" w:hAnsi="宋体" w:eastAsia="宋体"/>
          <w:sz w:val="21"/>
          <w:szCs w:val="21"/>
          <w:lang w:val="zh-CN"/>
        </w:rPr>
      </w:pPr>
      <w:r>
        <w:rPr>
          <w:rFonts w:hint="eastAsia" w:ascii="宋体" w:hAnsi="宋体" w:eastAsia="宋体"/>
          <w:sz w:val="21"/>
          <w:szCs w:val="21"/>
          <w:lang w:val="zh-CN"/>
        </w:rPr>
        <w:t>1.1.3试剂</w:t>
      </w:r>
    </w:p>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血琼脂平板(郑州安图生物工程股份有限公司</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氯化钠（纯度≥99.5%）（天津市风船化学试剂科技有限公司）</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精密试纸(PH6.4-8.0) （上海三爱思试剂有限公司）</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苯酚红 （天津市永大化学试剂有限公司）</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硫酸锌（ZnSO4• 7H2O含量≥99.5%）(天津市永大化学试剂有限公司)</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亚胺培南西司他丁钠（杭州默沙东制药有限公司）</w:t>
      </w: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 xml:space="preserve">1.1.4 </w:t>
      </w:r>
      <w:r>
        <w:rPr>
          <w:rFonts w:asciiTheme="minorEastAsia" w:hAnsiTheme="minorEastAsia" w:eastAsiaTheme="minorEastAsia"/>
          <w:sz w:val="21"/>
          <w:szCs w:val="21"/>
          <w:lang w:val="zh-CN"/>
        </w:rPr>
        <w:t>CarbAcineto NP</w:t>
      </w:r>
      <w:r>
        <w:rPr>
          <w:rFonts w:hint="eastAsia" w:asciiTheme="minorEastAsia" w:hAnsiTheme="minorEastAsia" w:eastAsiaTheme="minorEastAsia"/>
          <w:sz w:val="21"/>
          <w:szCs w:val="21"/>
          <w:lang w:val="zh-CN"/>
        </w:rPr>
        <w:t>试剂的配制：</w:t>
      </w:r>
    </w:p>
    <w:p>
      <w:pPr>
        <w:ind w:firstLine="210" w:firstLineChars="10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0.1N NaOH     0.4g NaOH粉末加入100ml蒸馏水</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混合</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室温保存。</w:t>
      </w:r>
    </w:p>
    <w:p>
      <w:pPr>
        <w:ind w:firstLine="28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10mM ZnSO4   1.4gZnSO4 • 7H2O加入500ml蒸馏水</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混合</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室温保存。</w:t>
      </w:r>
    </w:p>
    <w:p>
      <w:pPr>
        <w:ind w:firstLine="315" w:firstLineChars="15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0.5%酚红     1.25g酚红加入250ml蒸馏水，混合，室温保存。</w:t>
      </w:r>
    </w:p>
    <w:p>
      <w:pPr>
        <w:ind w:firstLine="315" w:firstLineChars="150"/>
        <w:rPr>
          <w:rFonts w:hint="eastAsia" w:asciiTheme="minorEastAsia" w:hAnsiTheme="minorEastAsia" w:eastAsiaTheme="minorEastAsia"/>
          <w:sz w:val="21"/>
          <w:szCs w:val="21"/>
          <w:lang w:val="zh-CN"/>
        </w:rPr>
      </w:pPr>
      <w:r>
        <w:rPr>
          <w:rFonts w:asciiTheme="minorEastAsia" w:hAnsiTheme="minorEastAsia" w:eastAsiaTheme="minorEastAsia"/>
          <w:sz w:val="21"/>
          <w:szCs w:val="21"/>
          <w:lang w:val="zh-CN"/>
        </w:rPr>
        <w:t>5M NaCl      14.625g溶解于蒸馏水中，最后定容至50ml。</w:t>
      </w:r>
    </w:p>
    <w:p>
      <w:pPr>
        <w:spacing w:line="440" w:lineRule="exact"/>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1.1.5</w:t>
      </w:r>
      <w:r>
        <w:rPr>
          <w:rFonts w:asciiTheme="minorEastAsia" w:hAnsiTheme="minorEastAsia" w:eastAsiaTheme="minorEastAsia"/>
          <w:sz w:val="21"/>
          <w:szCs w:val="21"/>
          <w:lang w:val="zh-CN"/>
        </w:rPr>
        <w:t xml:space="preserve"> CarbAcineto NP检测液的配制</w:t>
      </w:r>
    </w:p>
    <w:p>
      <w:pPr>
        <w:ind w:firstLine="420" w:firstLineChars="20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A液：准备25-50ml容器</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加入2ml0.5%酚红溶液于16.6ml蒸馏水中，然后加入180μl 10mMZnSO4 溶液。用0.1N NaOH或者10%HCl调节PH值为7.8±0.1。4-8℃保存一个星期</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避免长时间光照。</w:t>
      </w:r>
    </w:p>
    <w:p>
      <w:pPr>
        <w:ind w:firstLine="420" w:firstLineChars="20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B液：检测液A中加入12mg/ml亚胺培南西司他丁钠。计算B液需要量，平均一株菌需要100μlB液。共配制15mlA液，加入180mg亚胺培南西司他丁备用。加完后不用再调PH值。4-8℃保存3天，一般现配现用。</w:t>
      </w:r>
    </w:p>
    <w:p>
      <w:pP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w:t>
      </w:r>
      <w:r>
        <w:rPr>
          <w:rFonts w:asciiTheme="minorEastAsia" w:hAnsiTheme="minorEastAsia" w:eastAsiaTheme="minorEastAsia"/>
          <w:sz w:val="21"/>
          <w:szCs w:val="21"/>
          <w:lang w:val="zh-CN"/>
        </w:rPr>
        <w:t>2</w:t>
      </w:r>
      <w:r>
        <w:rPr>
          <w:rFonts w:hint="eastAsia" w:asciiTheme="minorEastAsia" w:hAnsiTheme="minorEastAsia" w:eastAsiaTheme="minorEastAsia"/>
          <w:sz w:val="21"/>
          <w:szCs w:val="21"/>
          <w:lang w:val="zh-CN"/>
        </w:rPr>
        <w:t>方法</w:t>
      </w:r>
    </w:p>
    <w:p>
      <w:pP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w:t>
      </w:r>
      <w:r>
        <w:rPr>
          <w:rFonts w:asciiTheme="minorEastAsia" w:hAnsiTheme="minorEastAsia" w:eastAsiaTheme="minorEastAsia"/>
          <w:sz w:val="21"/>
          <w:szCs w:val="21"/>
          <w:lang w:val="zh-CN"/>
        </w:rPr>
        <w:t>2.1</w:t>
      </w:r>
      <w:r>
        <w:rPr>
          <w:rFonts w:hint="eastAsia" w:asciiTheme="minorEastAsia" w:hAnsiTheme="minorEastAsia" w:eastAsiaTheme="minorEastAsia"/>
          <w:sz w:val="21"/>
          <w:szCs w:val="21"/>
          <w:lang w:val="zh-CN"/>
        </w:rPr>
        <w:t>菌株鉴定和药敏试验</w:t>
      </w:r>
      <w:r>
        <w:rPr>
          <w:rFonts w:asciiTheme="minorEastAsia" w:hAnsiTheme="minorEastAsia" w:eastAsiaTheme="minorEastAsia"/>
          <w:sz w:val="21"/>
          <w:szCs w:val="21"/>
          <w:lang w:val="zh-CN"/>
        </w:rPr>
        <w:t xml:space="preserve">  </w:t>
      </w:r>
    </w:p>
    <w:p>
      <w:pPr>
        <w:ind w:firstLine="420" w:firstLineChars="200"/>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标本采集和分离严格按照《全国临床检验操作规程》第三版进行，获得纯培养后，经</w:t>
      </w:r>
      <w:r>
        <w:rPr>
          <w:rFonts w:asciiTheme="minorEastAsia" w:hAnsiTheme="minorEastAsia" w:eastAsiaTheme="minorEastAsia"/>
          <w:sz w:val="21"/>
          <w:szCs w:val="21"/>
          <w:lang w:val="zh-CN"/>
        </w:rPr>
        <w:t>VITEK</w:t>
      </w:r>
      <w:r>
        <w:rPr>
          <w:rFonts w:hint="eastAsia" w:asciiTheme="minorEastAsia" w:hAnsiTheme="minorEastAsia" w:eastAsiaTheme="minorEastAsia"/>
          <w:sz w:val="21"/>
          <w:szCs w:val="21"/>
          <w:lang w:val="zh-CN"/>
        </w:rPr>
        <w:t xml:space="preserve"> compact全自动细菌鉴定仪进行鉴定和药敏实验，按照</w:t>
      </w:r>
      <w:r>
        <w:rPr>
          <w:rFonts w:asciiTheme="minorEastAsia" w:hAnsiTheme="minorEastAsia" w:eastAsiaTheme="minorEastAsia"/>
          <w:sz w:val="21"/>
          <w:szCs w:val="21"/>
          <w:lang w:val="zh-CN"/>
        </w:rPr>
        <w:t>2014</w:t>
      </w:r>
      <w:r>
        <w:rPr>
          <w:rFonts w:hint="eastAsia" w:asciiTheme="minorEastAsia" w:hAnsiTheme="minorEastAsia" w:eastAsiaTheme="minorEastAsia"/>
          <w:sz w:val="21"/>
          <w:szCs w:val="21"/>
          <w:lang w:val="zh-CN"/>
        </w:rPr>
        <w:t>年的美国微生物标准委员会</w:t>
      </w:r>
      <w:r>
        <w:rPr>
          <w:rFonts w:asciiTheme="minorEastAsia" w:hAnsiTheme="minorEastAsia" w:eastAsiaTheme="minorEastAsia"/>
          <w:sz w:val="21"/>
          <w:szCs w:val="21"/>
          <w:lang w:val="zh-CN"/>
        </w:rPr>
        <w:t>CLSI</w:t>
      </w:r>
      <w:r>
        <w:rPr>
          <w:rFonts w:hint="eastAsia" w:asciiTheme="minorEastAsia" w:hAnsiTheme="minorEastAsia" w:eastAsiaTheme="minorEastAsia"/>
          <w:sz w:val="21"/>
          <w:szCs w:val="21"/>
          <w:lang w:val="zh-CN"/>
        </w:rPr>
        <w:t>的标准来判定鲍曼不动杆菌的耐药情况。</w:t>
      </w: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w:t>
      </w:r>
      <w:r>
        <w:rPr>
          <w:rFonts w:asciiTheme="minorEastAsia" w:hAnsiTheme="minorEastAsia" w:eastAsiaTheme="minorEastAsia"/>
          <w:sz w:val="21"/>
          <w:szCs w:val="21"/>
          <w:lang w:val="zh-CN"/>
        </w:rPr>
        <w:t>2.2</w:t>
      </w:r>
      <w:r>
        <w:rPr>
          <w:rFonts w:hint="eastAsia" w:asciiTheme="minorEastAsia" w:hAnsiTheme="minorEastAsia" w:eastAsiaTheme="minorEastAsia"/>
          <w:sz w:val="21"/>
          <w:szCs w:val="21"/>
          <w:lang w:val="zh-CN"/>
        </w:rPr>
        <w:t>菌株复苏</w:t>
      </w:r>
    </w:p>
    <w:p>
      <w:pPr>
        <w:ind w:firstLine="420" w:firstLineChars="200"/>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 xml:space="preserve"> 从</w:t>
      </w:r>
      <w:r>
        <w:rPr>
          <w:rFonts w:asciiTheme="minorEastAsia" w:hAnsiTheme="minorEastAsia" w:eastAsiaTheme="minorEastAsia"/>
          <w:sz w:val="21"/>
          <w:szCs w:val="21"/>
          <w:lang w:val="zh-CN"/>
        </w:rPr>
        <w:t>-20℃</w:t>
      </w:r>
      <w:r>
        <w:rPr>
          <w:rFonts w:hint="eastAsia" w:asciiTheme="minorEastAsia" w:hAnsiTheme="minorEastAsia" w:eastAsiaTheme="minorEastAsia"/>
          <w:sz w:val="21"/>
          <w:szCs w:val="21"/>
          <w:lang w:val="zh-CN"/>
        </w:rPr>
        <w:t>低温保存的菌株库找到相应菌株，确认无误后，用</w:t>
      </w:r>
      <w:r>
        <w:rPr>
          <w:rFonts w:asciiTheme="minorEastAsia" w:hAnsiTheme="minorEastAsia" w:eastAsiaTheme="minorEastAsia"/>
          <w:sz w:val="21"/>
          <w:szCs w:val="21"/>
          <w:lang w:val="zh-CN"/>
        </w:rPr>
        <w:t>LB</w:t>
      </w:r>
      <w:r>
        <w:rPr>
          <w:rFonts w:hint="eastAsia" w:asciiTheme="minorEastAsia" w:hAnsiTheme="minorEastAsia" w:eastAsiaTheme="minorEastAsia"/>
          <w:sz w:val="21"/>
          <w:szCs w:val="21"/>
          <w:lang w:val="zh-CN"/>
        </w:rPr>
        <w:t>液体培养液进行振荡复苏，然后接种到血琼脂培养基上进行培养。</w:t>
      </w: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w:t>
      </w:r>
      <w:r>
        <w:rPr>
          <w:rFonts w:asciiTheme="minorEastAsia" w:hAnsiTheme="minorEastAsia" w:eastAsiaTheme="minorEastAsia"/>
          <w:sz w:val="21"/>
          <w:szCs w:val="21"/>
          <w:lang w:val="zh-CN"/>
        </w:rPr>
        <w:t xml:space="preserve">2.3 </w:t>
      </w:r>
      <w:r>
        <w:rPr>
          <w:rFonts w:hint="eastAsia" w:asciiTheme="minorEastAsia" w:hAnsiTheme="minorEastAsia" w:eastAsiaTheme="minorEastAsia"/>
          <w:sz w:val="21"/>
          <w:szCs w:val="21"/>
          <w:lang w:val="zh-CN"/>
        </w:rPr>
        <w:t xml:space="preserve">引物设计  </w:t>
      </w:r>
    </w:p>
    <w:p>
      <w:pPr>
        <w:ind w:firstLine="420" w:firstLineChars="200"/>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引物:</w:t>
      </w:r>
      <w:r>
        <w:rPr>
          <w:rFonts w:asciiTheme="minorEastAsia" w:hAnsiTheme="minorEastAsia" w:eastAsiaTheme="minorEastAsia"/>
          <w:sz w:val="21"/>
          <w:szCs w:val="21"/>
          <w:lang w:val="zh-CN"/>
        </w:rPr>
        <w:t xml:space="preserve"> OXA-23-F </w:t>
      </w:r>
      <w:r>
        <w:rPr>
          <w:rFonts w:hint="eastAsia" w:asciiTheme="minorEastAsia" w:hAnsiTheme="minorEastAsia" w:eastAsiaTheme="minorEastAsia"/>
          <w:sz w:val="21"/>
          <w:szCs w:val="21"/>
          <w:lang w:val="zh-CN"/>
        </w:rPr>
        <w:t>5’</w:t>
      </w:r>
      <w:r>
        <w:rPr>
          <w:rFonts w:asciiTheme="minorEastAsia" w:hAnsiTheme="minorEastAsia" w:eastAsiaTheme="minorEastAsia"/>
          <w:sz w:val="21"/>
          <w:szCs w:val="21"/>
          <w:lang w:val="zh-CN"/>
        </w:rPr>
        <w:t>GATCGGATTGGAGAACCAGA OXA-23-R</w:t>
      </w:r>
      <w:r>
        <w:rPr>
          <w:rFonts w:hint="eastAsia" w:asciiTheme="minorEastAsia" w:hAnsiTheme="minorEastAsia" w:eastAsiaTheme="minorEastAsia"/>
          <w:sz w:val="21"/>
          <w:szCs w:val="21"/>
          <w:lang w:val="zh-CN"/>
        </w:rPr>
        <w:t xml:space="preserve"> 5’</w:t>
      </w:r>
      <w:r>
        <w:rPr>
          <w:rFonts w:asciiTheme="minorEastAsia" w:hAnsiTheme="minorEastAsia" w:eastAsiaTheme="minorEastAsia"/>
          <w:sz w:val="21"/>
          <w:szCs w:val="21"/>
          <w:lang w:val="zh-CN"/>
        </w:rPr>
        <w:t>ATTTCTGACCGCATTTCCAT</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目的片段</w:t>
      </w:r>
      <w:r>
        <w:rPr>
          <w:rFonts w:asciiTheme="minorEastAsia" w:hAnsiTheme="minorEastAsia" w:eastAsiaTheme="minorEastAsia"/>
          <w:sz w:val="21"/>
          <w:szCs w:val="21"/>
          <w:lang w:val="zh-CN"/>
        </w:rPr>
        <w:t>501bp</w:t>
      </w:r>
      <w:r>
        <w:rPr>
          <w:rFonts w:hint="eastAsia" w:asciiTheme="minorEastAsia" w:hAnsiTheme="minorEastAsia" w:eastAsiaTheme="minorEastAsia"/>
          <w:sz w:val="21"/>
          <w:szCs w:val="21"/>
          <w:lang w:val="zh-CN"/>
        </w:rPr>
        <w:t>。由北京赛百盛基因技术有限公司合成。</w:t>
      </w: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w:t>
      </w:r>
      <w:r>
        <w:rPr>
          <w:rFonts w:asciiTheme="minorEastAsia" w:hAnsiTheme="minorEastAsia" w:eastAsiaTheme="minorEastAsia"/>
          <w:sz w:val="21"/>
          <w:szCs w:val="21"/>
          <w:lang w:val="zh-CN"/>
        </w:rPr>
        <w:t>2.4  DNA</w:t>
      </w:r>
      <w:r>
        <w:rPr>
          <w:rFonts w:hint="eastAsia" w:asciiTheme="minorEastAsia" w:hAnsiTheme="minorEastAsia" w:eastAsiaTheme="minorEastAsia"/>
          <w:sz w:val="21"/>
          <w:szCs w:val="21"/>
          <w:lang w:val="zh-CN"/>
        </w:rPr>
        <w:t>模板的制备</w:t>
      </w:r>
      <w:r>
        <w:rPr>
          <w:rFonts w:asciiTheme="minorEastAsia" w:hAnsiTheme="minorEastAsia" w:eastAsiaTheme="minorEastAsia"/>
          <w:sz w:val="21"/>
          <w:szCs w:val="21"/>
          <w:lang w:val="zh-CN"/>
        </w:rPr>
        <w:t xml:space="preserve">  </w:t>
      </w:r>
    </w:p>
    <w:p>
      <w:pPr>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 xml:space="preserve">   采用煮沸法，挑取在血培养上孵育</w:t>
      </w:r>
      <w:r>
        <w:rPr>
          <w:rFonts w:asciiTheme="minorEastAsia" w:hAnsiTheme="minorEastAsia" w:eastAsiaTheme="minorEastAsia"/>
          <w:sz w:val="21"/>
          <w:szCs w:val="21"/>
          <w:lang w:val="zh-CN"/>
        </w:rPr>
        <w:t>18-24h</w:t>
      </w:r>
      <w:r>
        <w:rPr>
          <w:rFonts w:hint="eastAsia" w:asciiTheme="minorEastAsia" w:hAnsiTheme="minorEastAsia" w:eastAsiaTheme="minorEastAsia"/>
          <w:sz w:val="21"/>
          <w:szCs w:val="21"/>
          <w:lang w:val="zh-CN"/>
        </w:rPr>
        <w:t>的数个菌落加入到有灭菌蒸馏水</w:t>
      </w:r>
      <w:r>
        <w:rPr>
          <w:rFonts w:asciiTheme="minorEastAsia" w:hAnsiTheme="minorEastAsia" w:eastAsiaTheme="minorEastAsia"/>
          <w:sz w:val="21"/>
          <w:szCs w:val="21"/>
          <w:lang w:val="zh-CN"/>
        </w:rPr>
        <w:t>150μl</w:t>
      </w:r>
      <w:r>
        <w:rPr>
          <w:rFonts w:hint="eastAsia" w:asciiTheme="minorEastAsia" w:hAnsiTheme="minorEastAsia" w:eastAsiaTheme="minorEastAsia"/>
          <w:sz w:val="21"/>
          <w:szCs w:val="21"/>
          <w:lang w:val="zh-CN"/>
        </w:rPr>
        <w:t>的</w:t>
      </w:r>
      <w:r>
        <w:rPr>
          <w:rFonts w:asciiTheme="minorEastAsia" w:hAnsiTheme="minorEastAsia" w:eastAsiaTheme="minorEastAsia"/>
          <w:sz w:val="21"/>
          <w:szCs w:val="21"/>
          <w:lang w:val="zh-CN"/>
        </w:rPr>
        <w:t>EP</w:t>
      </w:r>
      <w:r>
        <w:rPr>
          <w:rFonts w:hint="eastAsia" w:asciiTheme="minorEastAsia" w:hAnsiTheme="minorEastAsia" w:eastAsiaTheme="minorEastAsia"/>
          <w:sz w:val="21"/>
          <w:szCs w:val="21"/>
          <w:lang w:val="zh-CN"/>
        </w:rPr>
        <w:t>管中，煮沸</w:t>
      </w:r>
      <w:r>
        <w:rPr>
          <w:rFonts w:asciiTheme="minorEastAsia" w:hAnsiTheme="minorEastAsia" w:eastAsiaTheme="minorEastAsia"/>
          <w:sz w:val="21"/>
          <w:szCs w:val="21"/>
          <w:lang w:val="zh-CN"/>
        </w:rPr>
        <w:t>10</w:t>
      </w:r>
      <w:r>
        <w:rPr>
          <w:rFonts w:hint="eastAsia" w:asciiTheme="minorEastAsia" w:hAnsiTheme="minorEastAsia" w:eastAsiaTheme="minorEastAsia"/>
          <w:sz w:val="21"/>
          <w:szCs w:val="21"/>
          <w:lang w:val="zh-CN"/>
        </w:rPr>
        <w:t>分钟后立即冷却于</w:t>
      </w:r>
      <w:r>
        <w:rPr>
          <w:rFonts w:asciiTheme="minorEastAsia" w:hAnsiTheme="minorEastAsia" w:eastAsiaTheme="minorEastAsia"/>
          <w:sz w:val="21"/>
          <w:szCs w:val="21"/>
          <w:lang w:val="zh-CN"/>
        </w:rPr>
        <w:t>4℃</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12000r/min</w:t>
      </w:r>
      <w:r>
        <w:rPr>
          <w:rFonts w:hint="eastAsia" w:asciiTheme="minorEastAsia" w:hAnsiTheme="minorEastAsia" w:eastAsiaTheme="minorEastAsia"/>
          <w:sz w:val="21"/>
          <w:szCs w:val="21"/>
          <w:lang w:val="zh-CN"/>
        </w:rPr>
        <w:t>离心</w:t>
      </w:r>
      <w:r>
        <w:rPr>
          <w:rFonts w:asciiTheme="minorEastAsia" w:hAnsiTheme="minorEastAsia" w:eastAsiaTheme="minorEastAsia"/>
          <w:sz w:val="21"/>
          <w:szCs w:val="21"/>
          <w:lang w:val="zh-CN"/>
        </w:rPr>
        <w:t>5</w:t>
      </w:r>
      <w:r>
        <w:rPr>
          <w:rFonts w:hint="eastAsia" w:asciiTheme="minorEastAsia" w:hAnsiTheme="minorEastAsia" w:eastAsiaTheme="minorEastAsia"/>
          <w:sz w:val="21"/>
          <w:szCs w:val="21"/>
          <w:lang w:val="zh-CN"/>
        </w:rPr>
        <w:t>分钟，取上清作为</w:t>
      </w:r>
      <w:r>
        <w:rPr>
          <w:rFonts w:asciiTheme="minorEastAsia" w:hAnsiTheme="minorEastAsia" w:eastAsiaTheme="minorEastAsia"/>
          <w:sz w:val="21"/>
          <w:szCs w:val="21"/>
          <w:lang w:val="zh-CN"/>
        </w:rPr>
        <w:t>PCR</w:t>
      </w:r>
      <w:r>
        <w:rPr>
          <w:rFonts w:hint="eastAsia" w:asciiTheme="minorEastAsia" w:hAnsiTheme="minorEastAsia" w:eastAsiaTheme="minorEastAsia"/>
          <w:sz w:val="21"/>
          <w:szCs w:val="21"/>
          <w:lang w:val="zh-CN"/>
        </w:rPr>
        <w:t>模板。</w:t>
      </w:r>
    </w:p>
    <w:p>
      <w:pP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w:t>
      </w:r>
      <w:r>
        <w:rPr>
          <w:rFonts w:asciiTheme="minorEastAsia" w:hAnsiTheme="minorEastAsia" w:eastAsiaTheme="minorEastAsia"/>
          <w:sz w:val="21"/>
          <w:szCs w:val="21"/>
          <w:lang w:val="zh-CN"/>
        </w:rPr>
        <w:t>2.5 PCR</w:t>
      </w:r>
      <w:r>
        <w:rPr>
          <w:rFonts w:hint="eastAsia" w:asciiTheme="minorEastAsia" w:hAnsiTheme="minorEastAsia" w:eastAsiaTheme="minorEastAsia"/>
          <w:sz w:val="21"/>
          <w:szCs w:val="21"/>
          <w:lang w:val="zh-CN"/>
        </w:rPr>
        <w:t>扩增</w:t>
      </w:r>
      <w:r>
        <w:rPr>
          <w:rFonts w:asciiTheme="minorEastAsia" w:hAnsiTheme="minorEastAsia" w:eastAsiaTheme="minorEastAsia"/>
          <w:sz w:val="21"/>
          <w:szCs w:val="21"/>
          <w:lang w:val="zh-CN"/>
        </w:rPr>
        <w:t xml:space="preserve">   </w:t>
      </w:r>
    </w:p>
    <w:p>
      <w:pPr>
        <w:ind w:firstLine="420" w:firstLineChars="200"/>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 xml:space="preserve"> </w:t>
      </w:r>
      <w:r>
        <w:rPr>
          <w:rFonts w:asciiTheme="minorEastAsia" w:hAnsiTheme="minorEastAsia" w:eastAsiaTheme="minorEastAsia"/>
          <w:sz w:val="21"/>
          <w:szCs w:val="21"/>
          <w:lang w:val="zh-CN"/>
        </w:rPr>
        <w:t>PCR</w:t>
      </w:r>
      <w:r>
        <w:rPr>
          <w:rFonts w:hint="eastAsia" w:asciiTheme="minorEastAsia" w:hAnsiTheme="minorEastAsia" w:eastAsiaTheme="minorEastAsia"/>
          <w:sz w:val="21"/>
          <w:szCs w:val="21"/>
          <w:lang w:val="zh-CN"/>
        </w:rPr>
        <w:t>反应条件，预变性</w:t>
      </w:r>
      <w:r>
        <w:rPr>
          <w:rFonts w:asciiTheme="minorEastAsia" w:hAnsiTheme="minorEastAsia" w:eastAsiaTheme="minorEastAsia"/>
          <w:sz w:val="21"/>
          <w:szCs w:val="21"/>
          <w:lang w:val="zh-CN"/>
        </w:rPr>
        <w:t xml:space="preserve"> 95℃ 2min</w:t>
      </w:r>
      <w:r>
        <w:rPr>
          <w:rFonts w:hint="eastAsia" w:asciiTheme="minorEastAsia" w:hAnsiTheme="minorEastAsia" w:eastAsiaTheme="minorEastAsia"/>
          <w:sz w:val="21"/>
          <w:szCs w:val="21"/>
          <w:lang w:val="zh-CN"/>
        </w:rPr>
        <w:t xml:space="preserve">, </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循环参数：变性</w:t>
      </w:r>
      <w:r>
        <w:rPr>
          <w:rFonts w:asciiTheme="minorEastAsia" w:hAnsiTheme="minorEastAsia" w:eastAsiaTheme="minorEastAsia"/>
          <w:sz w:val="21"/>
          <w:szCs w:val="21"/>
          <w:lang w:val="zh-CN"/>
        </w:rPr>
        <w:t xml:space="preserve">  95℃ 30s</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退火温度</w:t>
      </w:r>
      <w:r>
        <w:rPr>
          <w:rFonts w:asciiTheme="minorEastAsia" w:hAnsiTheme="minorEastAsia" w:eastAsiaTheme="minorEastAsia"/>
          <w:sz w:val="21"/>
          <w:szCs w:val="21"/>
          <w:lang w:val="zh-CN"/>
        </w:rPr>
        <w:t>58℃ 30s</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延伸</w:t>
      </w:r>
      <w:r>
        <w:rPr>
          <w:rFonts w:asciiTheme="minorEastAsia" w:hAnsiTheme="minorEastAsia" w:eastAsiaTheme="minorEastAsia"/>
          <w:sz w:val="21"/>
          <w:szCs w:val="21"/>
          <w:lang w:val="zh-CN"/>
        </w:rPr>
        <w:t>72℃ 1 min</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延伸</w:t>
      </w:r>
      <w:r>
        <w:rPr>
          <w:rFonts w:asciiTheme="minorEastAsia" w:hAnsiTheme="minorEastAsia" w:eastAsiaTheme="minorEastAsia"/>
          <w:sz w:val="21"/>
          <w:szCs w:val="21"/>
          <w:lang w:val="zh-CN"/>
        </w:rPr>
        <w:t xml:space="preserve">72℃ 10min </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共循环</w:t>
      </w:r>
      <w:r>
        <w:rPr>
          <w:rFonts w:asciiTheme="minorEastAsia" w:hAnsiTheme="minorEastAsia" w:eastAsiaTheme="minorEastAsia"/>
          <w:sz w:val="21"/>
          <w:szCs w:val="21"/>
          <w:lang w:val="zh-CN"/>
        </w:rPr>
        <w:t>30</w:t>
      </w:r>
      <w:r>
        <w:rPr>
          <w:rFonts w:hint="eastAsia" w:asciiTheme="minorEastAsia" w:hAnsiTheme="minorEastAsia" w:eastAsiaTheme="minorEastAsia"/>
          <w:sz w:val="21"/>
          <w:szCs w:val="21"/>
          <w:lang w:val="zh-CN"/>
        </w:rPr>
        <w:t>次</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。电泳:</w:t>
      </w:r>
      <w:r>
        <w:rPr>
          <w:rFonts w:asciiTheme="minorEastAsia" w:hAnsiTheme="minorEastAsia" w:eastAsiaTheme="minorEastAsia"/>
          <w:sz w:val="21"/>
          <w:szCs w:val="21"/>
          <w:lang w:val="zh-CN"/>
        </w:rPr>
        <w:t xml:space="preserve"> </w:t>
      </w:r>
      <w:r>
        <w:rPr>
          <w:rFonts w:hint="eastAsia" w:asciiTheme="minorEastAsia" w:hAnsiTheme="minorEastAsia" w:eastAsiaTheme="minorEastAsia"/>
          <w:sz w:val="21"/>
          <w:szCs w:val="21"/>
          <w:lang w:val="zh-CN"/>
        </w:rPr>
        <w:t>取</w:t>
      </w:r>
      <w:r>
        <w:rPr>
          <w:rFonts w:asciiTheme="minorEastAsia" w:hAnsiTheme="minorEastAsia" w:eastAsiaTheme="minorEastAsia"/>
          <w:sz w:val="21"/>
          <w:szCs w:val="21"/>
          <w:lang w:val="zh-CN"/>
        </w:rPr>
        <w:t>6μlPCR</w:t>
      </w:r>
      <w:r>
        <w:rPr>
          <w:rFonts w:hint="eastAsia" w:asciiTheme="minorEastAsia" w:hAnsiTheme="minorEastAsia" w:eastAsiaTheme="minorEastAsia"/>
          <w:sz w:val="21"/>
          <w:szCs w:val="21"/>
          <w:lang w:val="zh-CN"/>
        </w:rPr>
        <w:t>产物用</w:t>
      </w:r>
      <w:r>
        <w:rPr>
          <w:rFonts w:asciiTheme="minorEastAsia" w:hAnsiTheme="minorEastAsia" w:eastAsiaTheme="minorEastAsia"/>
          <w:sz w:val="21"/>
          <w:szCs w:val="21"/>
          <w:lang w:val="zh-CN"/>
        </w:rPr>
        <w:t>1.5%</w:t>
      </w:r>
      <w:r>
        <w:rPr>
          <w:rFonts w:hint="eastAsia" w:asciiTheme="minorEastAsia" w:hAnsiTheme="minorEastAsia" w:eastAsiaTheme="minorEastAsia"/>
          <w:sz w:val="21"/>
          <w:szCs w:val="21"/>
          <w:lang w:val="zh-CN"/>
        </w:rPr>
        <w:t>，含有</w:t>
      </w:r>
      <w:r>
        <w:rPr>
          <w:rFonts w:asciiTheme="minorEastAsia" w:hAnsiTheme="minorEastAsia" w:eastAsiaTheme="minorEastAsia"/>
          <w:sz w:val="21"/>
          <w:szCs w:val="21"/>
          <w:lang w:val="zh-CN"/>
        </w:rPr>
        <w:t>Goldview</w:t>
      </w:r>
      <w:r>
        <w:rPr>
          <w:rFonts w:hint="eastAsia" w:asciiTheme="minorEastAsia" w:hAnsiTheme="minorEastAsia" w:eastAsiaTheme="minorEastAsia"/>
          <w:sz w:val="21"/>
          <w:szCs w:val="21"/>
          <w:lang w:val="zh-CN"/>
        </w:rPr>
        <w:t>染料的琼脂糖凝胶上电泳。然后再紫外成像仪上成像并记录结果。</w:t>
      </w: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w:t>
      </w:r>
      <w:r>
        <w:rPr>
          <w:rFonts w:asciiTheme="minorEastAsia" w:hAnsiTheme="minorEastAsia" w:eastAsiaTheme="minorEastAsia"/>
          <w:sz w:val="21"/>
          <w:szCs w:val="21"/>
          <w:lang w:val="zh-CN"/>
        </w:rPr>
        <w:t>2.</w:t>
      </w:r>
      <w:r>
        <w:rPr>
          <w:rFonts w:hint="eastAsia" w:asciiTheme="minorEastAsia" w:hAnsiTheme="minorEastAsia" w:eastAsiaTheme="minorEastAsia"/>
          <w:sz w:val="21"/>
          <w:szCs w:val="21"/>
          <w:lang w:val="zh-CN"/>
        </w:rPr>
        <w:t>6</w:t>
      </w:r>
      <w:r>
        <w:rPr>
          <w:rFonts w:asciiTheme="minorEastAsia" w:hAnsiTheme="minorEastAsia" w:eastAsiaTheme="minorEastAsia"/>
          <w:sz w:val="21"/>
          <w:szCs w:val="21"/>
          <w:lang w:val="zh-CN"/>
        </w:rPr>
        <w:t xml:space="preserve"> CarbAcineto NP方法</w:t>
      </w:r>
    </w:p>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准备1.5ml的EP管，分别标记上菌株编号，每株编号分别设置A,B两管。每管中加入100μl 5M NaCl。用10μl接种环挑取满环经过过夜培养的鲍曼不动杆菌分别加入到A,B两管100μl 5M NaCl溶液中，肺炎克雷伯菌ATCC BAA-1705碳青霉烯酶阳性对照质控菌株和肺炎克雷伯菌ATCC BAA-1706碳青霉烯酶阴性对照质控菌株也分别加入到A,B两管100μl 5M NaCl溶液中，盖上盖子，涡旋振荡混匀。在标记的A，B管中，分别对应加入100μl A，B检测液</w:t>
      </w:r>
      <w:r>
        <w:rPr>
          <w:rFonts w:hint="eastAsia" w:asciiTheme="minorEastAsia" w:hAnsiTheme="minorEastAsia" w:eastAsiaTheme="minorEastAsia"/>
          <w:sz w:val="21"/>
          <w:szCs w:val="21"/>
          <w:lang w:val="zh-CN"/>
        </w:rPr>
        <w:t>，</w:t>
      </w:r>
      <w:r>
        <w:rPr>
          <w:rFonts w:asciiTheme="minorEastAsia" w:hAnsiTheme="minorEastAsia" w:eastAsiaTheme="minorEastAsia"/>
          <w:sz w:val="21"/>
          <w:szCs w:val="21"/>
          <w:lang w:val="zh-CN"/>
        </w:rPr>
        <w:t>盖上盖子，振荡混匀。放入35℃温箱中2个小时后观察结果。</w:t>
      </w: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1.2.7</w:t>
      </w:r>
      <w:r>
        <w:rPr>
          <w:rFonts w:asciiTheme="minorEastAsia" w:hAnsiTheme="minorEastAsia" w:eastAsiaTheme="minorEastAsia"/>
          <w:sz w:val="21"/>
          <w:szCs w:val="21"/>
          <w:lang w:val="zh-CN"/>
        </w:rPr>
        <w:t>结果解释</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73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管a：溶液A（作为内质控）</w:t>
            </w:r>
          </w:p>
        </w:tc>
        <w:tc>
          <w:tcPr>
            <w:tcW w:w="2738"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管b:溶液B</w:t>
            </w:r>
          </w:p>
        </w:tc>
        <w:tc>
          <w:tcPr>
            <w:tcW w:w="2841"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结果解释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2943"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红色或红-橙色</w:t>
            </w:r>
          </w:p>
        </w:tc>
        <w:tc>
          <w:tcPr>
            <w:tcW w:w="2738"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红色或红-橙色</w:t>
            </w:r>
          </w:p>
        </w:tc>
        <w:tc>
          <w:tcPr>
            <w:tcW w:w="2841"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阴性，非碳青霉烯酶产生株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红色或红-橙色</w:t>
            </w:r>
          </w:p>
        </w:tc>
        <w:tc>
          <w:tcPr>
            <w:tcW w:w="2738"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浅橙色，深黄色或黄色</w:t>
            </w:r>
          </w:p>
        </w:tc>
        <w:tc>
          <w:tcPr>
            <w:tcW w:w="2841"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阳性，碳青霉烯酶产生株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红色或红-橙色</w:t>
            </w:r>
          </w:p>
        </w:tc>
        <w:tc>
          <w:tcPr>
            <w:tcW w:w="2738"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橙色</w:t>
            </w:r>
          </w:p>
        </w:tc>
        <w:tc>
          <w:tcPr>
            <w:tcW w:w="2841"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43"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橙色，浅橙色，深黄色或黄色</w:t>
            </w:r>
          </w:p>
        </w:tc>
        <w:tc>
          <w:tcPr>
            <w:tcW w:w="2738"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任何颜色</w:t>
            </w:r>
          </w:p>
        </w:tc>
        <w:tc>
          <w:tcPr>
            <w:tcW w:w="2841" w:type="dxa"/>
          </w:tcPr>
          <w:p>
            <w:pPr>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无效</w:t>
            </w:r>
          </w:p>
        </w:tc>
      </w:tr>
    </w:tbl>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2.  结    果</w:t>
      </w: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2.1  细菌耐药情况</w:t>
      </w:r>
    </w:p>
    <w:p>
      <w:pPr>
        <w:ind w:firstLine="420" w:firstLineChars="200"/>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121株鲍曼不动杆菌中69株对亚胺培南和美罗培南都耐药，51株对亚胺培南和美罗培南都敏感。只有1株对亚胺培南耐药，对美罗培南敏感。</w:t>
      </w: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2.2 PCR检测OXA-23结果分析</w:t>
      </w:r>
    </w:p>
    <w:p>
      <w:pPr>
        <w:ind w:firstLine="420" w:firstLineChars="200"/>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121株鲍曼不动杆菌中，69株PCR显示携带OXA-23基因。见图1，</w:t>
      </w:r>
      <w:r>
        <w:rPr>
          <w:rFonts w:asciiTheme="minorEastAsia" w:hAnsiTheme="minorEastAsia" w:eastAsiaTheme="minorEastAsia"/>
          <w:sz w:val="21"/>
          <w:szCs w:val="21"/>
          <w:lang w:val="zh-CN"/>
        </w:rPr>
        <w:t>其中对亚胺培南耐药的70株鲍曼不动杆菌中，有67株携带OXA-23基因，OXA-23基因携带率为95.7%。5</w:t>
      </w:r>
      <w:r>
        <w:rPr>
          <w:rFonts w:hint="eastAsia" w:asciiTheme="minorEastAsia" w:hAnsiTheme="minorEastAsia" w:eastAsiaTheme="minorEastAsia"/>
          <w:sz w:val="21"/>
          <w:szCs w:val="21"/>
          <w:lang w:val="zh-CN"/>
        </w:rPr>
        <w:t>1株鲍曼不动杆菌对亚胺培南和美罗培南都敏感，其中2株菌携带OXA-23基因，见表1</w:t>
      </w:r>
    </w:p>
    <w:p>
      <w:pPr>
        <w:ind w:firstLine="420" w:firstLineChars="200"/>
        <w:jc w:val="center"/>
        <w:rPr>
          <w:rFonts w:hint="eastAsia" w:asciiTheme="minorEastAsia" w:hAnsiTheme="minorEastAsia" w:eastAsiaTheme="minorEastAsia"/>
          <w:sz w:val="21"/>
          <w:szCs w:val="21"/>
          <w:lang w:val="zh-CN"/>
        </w:rPr>
      </w:pPr>
      <w:r>
        <w:rPr>
          <w:rFonts w:asciiTheme="minorEastAsia" w:hAnsiTheme="minorEastAsia" w:eastAsiaTheme="minorEastAsia"/>
          <w:sz w:val="21"/>
          <w:szCs w:val="21"/>
        </w:rPr>
        <w:drawing>
          <wp:inline distT="0" distB="0" distL="0" distR="0">
            <wp:extent cx="2838450" cy="1504315"/>
            <wp:effectExtent l="19050" t="0" r="0" b="0"/>
            <wp:docPr id="1" name="图片 1" descr="C:\Users\Administrator\Desktop\NP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NP图.jpg"/>
                    <pic:cNvPicPr>
                      <a:picLocks noChangeAspect="1" noChangeArrowheads="1"/>
                    </pic:cNvPicPr>
                  </pic:nvPicPr>
                  <pic:blipFill>
                    <a:blip r:embed="rId4" cstate="print"/>
                    <a:srcRect/>
                    <a:stretch>
                      <a:fillRect/>
                    </a:stretch>
                  </pic:blipFill>
                  <pic:spPr>
                    <a:xfrm>
                      <a:off x="0" y="0"/>
                      <a:ext cx="2839872" cy="1505133"/>
                    </a:xfrm>
                    <a:prstGeom prst="rect">
                      <a:avLst/>
                    </a:prstGeom>
                    <a:noFill/>
                    <a:ln w="9525">
                      <a:noFill/>
                      <a:miter lim="800000"/>
                      <a:headEnd/>
                      <a:tailEnd/>
                    </a:ln>
                  </pic:spPr>
                </pic:pic>
              </a:graphicData>
            </a:graphic>
          </wp:inline>
        </w:drawing>
      </w:r>
    </w:p>
    <w:p>
      <w:pPr>
        <w:autoSpaceDE w:val="0"/>
        <w:autoSpaceDN w:val="0"/>
        <w:jc w:val="center"/>
        <w:rPr>
          <w:rFonts w:ascii="Times New Roman" w:hAnsi="Times New Roman" w:cs="Times New Roman"/>
          <w:sz w:val="21"/>
          <w:szCs w:val="21"/>
        </w:rPr>
      </w:pPr>
      <w:r>
        <w:rPr>
          <w:rFonts w:ascii="Times New Roman" w:hAnsi="Times New Roman" w:cs="Times New Roman"/>
          <w:sz w:val="21"/>
          <w:szCs w:val="21"/>
        </w:rPr>
        <w:t>Fig.1 Agarose gel electrophoresis of PCR product of OXA-23 Genes</w:t>
      </w:r>
      <w:r>
        <w:rPr>
          <w:rFonts w:ascii="Times New Roman" w:cs="Times New Roman"/>
          <w:sz w:val="21"/>
          <w:szCs w:val="21"/>
        </w:rPr>
        <w:t>．</w:t>
      </w:r>
    </w:p>
    <w:p>
      <w:pPr>
        <w:autoSpaceDE w:val="0"/>
        <w:autoSpaceDN w:val="0"/>
        <w:jc w:val="center"/>
        <w:rPr>
          <w:rFonts w:ascii="Times New Roman" w:hAnsi="Times New Roman" w:cs="Times New Roman"/>
          <w:sz w:val="21"/>
          <w:szCs w:val="21"/>
        </w:rPr>
      </w:pPr>
      <w:r>
        <w:rPr>
          <w:rFonts w:ascii="Times New Roman" w:hAnsi="Times New Roman" w:cs="Times New Roman"/>
          <w:sz w:val="21"/>
          <w:szCs w:val="21"/>
        </w:rPr>
        <w:t>P</w:t>
      </w:r>
      <w:r>
        <w:rPr>
          <w:rFonts w:ascii="Times New Roman" w:cs="Times New Roman"/>
          <w:sz w:val="21"/>
          <w:szCs w:val="21"/>
        </w:rPr>
        <w:t>：</w:t>
      </w:r>
      <w:r>
        <w:rPr>
          <w:rFonts w:ascii="Times New Roman" w:hAnsi="Times New Roman" w:cs="Times New Roman"/>
          <w:sz w:val="21"/>
          <w:szCs w:val="21"/>
        </w:rPr>
        <w:t>Positive Control</w:t>
      </w:r>
      <w:r>
        <w:rPr>
          <w:rFonts w:ascii="Times New Roman" w:cs="Times New Roman"/>
          <w:sz w:val="21"/>
          <w:szCs w:val="21"/>
        </w:rPr>
        <w:t>；</w:t>
      </w:r>
      <w:r>
        <w:rPr>
          <w:rFonts w:ascii="Times New Roman" w:hAnsi="Times New Roman" w:cs="Times New Roman"/>
          <w:sz w:val="21"/>
          <w:szCs w:val="21"/>
        </w:rPr>
        <w:t>N</w:t>
      </w:r>
      <w:r>
        <w:rPr>
          <w:rFonts w:ascii="Times New Roman" w:cs="Times New Roman"/>
          <w:sz w:val="21"/>
          <w:szCs w:val="21"/>
        </w:rPr>
        <w:t>：</w:t>
      </w:r>
      <w:r>
        <w:rPr>
          <w:rFonts w:ascii="Times New Roman" w:hAnsi="Times New Roman" w:cs="Times New Roman"/>
          <w:sz w:val="21"/>
          <w:szCs w:val="21"/>
        </w:rPr>
        <w:t>Negative Control</w:t>
      </w:r>
      <w:r>
        <w:rPr>
          <w:rFonts w:ascii="Times New Roman" w:cs="Times New Roman"/>
          <w:sz w:val="21"/>
          <w:szCs w:val="21"/>
        </w:rPr>
        <w:t>．</w:t>
      </w:r>
    </w:p>
    <w:p>
      <w:pPr>
        <w:autoSpaceDE w:val="0"/>
        <w:autoSpaceDN w:val="0"/>
        <w:jc w:val="center"/>
        <w:rPr>
          <w:rFonts w:ascii="Times New Roman" w:hAnsi="Times New Roman" w:cs="Times New Roman"/>
          <w:sz w:val="21"/>
          <w:szCs w:val="21"/>
        </w:rPr>
      </w:pPr>
      <w:r>
        <w:rPr>
          <w:rFonts w:ascii="Times New Roman" w:hAnsi="Times New Roman" w:cs="Times New Roman"/>
          <w:sz w:val="21"/>
          <w:szCs w:val="21"/>
        </w:rPr>
        <w:t>M</w:t>
      </w:r>
      <w:r>
        <w:rPr>
          <w:rFonts w:ascii="Times New Roman" w:cs="Times New Roman"/>
          <w:sz w:val="21"/>
          <w:szCs w:val="21"/>
        </w:rPr>
        <w:t>：</w:t>
      </w:r>
      <w:r>
        <w:rPr>
          <w:rFonts w:ascii="Times New Roman" w:hAnsi="Times New Roman" w:cs="Times New Roman"/>
          <w:sz w:val="21"/>
          <w:szCs w:val="21"/>
        </w:rPr>
        <w:t>Marker (100</w:t>
      </w:r>
      <w:r>
        <w:rPr>
          <w:rFonts w:ascii="Times New Roman" w:cs="Times New Roman"/>
          <w:sz w:val="21"/>
          <w:szCs w:val="21"/>
        </w:rPr>
        <w:t>、</w:t>
      </w:r>
      <w:r>
        <w:rPr>
          <w:rFonts w:ascii="Times New Roman" w:hAnsi="Times New Roman" w:cs="Times New Roman"/>
          <w:sz w:val="21"/>
          <w:szCs w:val="21"/>
        </w:rPr>
        <w:t>250</w:t>
      </w:r>
      <w:r>
        <w:rPr>
          <w:rFonts w:ascii="Times New Roman" w:cs="Times New Roman"/>
          <w:sz w:val="21"/>
          <w:szCs w:val="21"/>
        </w:rPr>
        <w:t>、</w:t>
      </w:r>
      <w:r>
        <w:rPr>
          <w:rFonts w:ascii="Times New Roman" w:hAnsi="Times New Roman" w:cs="Times New Roman"/>
          <w:sz w:val="21"/>
          <w:szCs w:val="21"/>
        </w:rPr>
        <w:t>500</w:t>
      </w:r>
      <w:r>
        <w:rPr>
          <w:rFonts w:ascii="Times New Roman" w:cs="Times New Roman"/>
          <w:sz w:val="21"/>
          <w:szCs w:val="21"/>
        </w:rPr>
        <w:t>、</w:t>
      </w:r>
      <w:r>
        <w:rPr>
          <w:rFonts w:ascii="Times New Roman" w:hAnsi="Times New Roman" w:cs="Times New Roman"/>
          <w:sz w:val="21"/>
          <w:szCs w:val="21"/>
        </w:rPr>
        <w:t>750</w:t>
      </w:r>
      <w:r>
        <w:rPr>
          <w:rFonts w:ascii="Times New Roman" w:cs="Times New Roman"/>
          <w:sz w:val="21"/>
          <w:szCs w:val="21"/>
        </w:rPr>
        <w:t>、</w:t>
      </w:r>
      <w:r>
        <w:rPr>
          <w:rFonts w:ascii="Times New Roman" w:hAnsi="Times New Roman" w:cs="Times New Roman"/>
          <w:sz w:val="21"/>
          <w:szCs w:val="21"/>
        </w:rPr>
        <w:t>1000</w:t>
      </w:r>
      <w:r>
        <w:rPr>
          <w:rFonts w:ascii="Times New Roman" w:cs="Times New Roman"/>
          <w:sz w:val="21"/>
          <w:szCs w:val="21"/>
        </w:rPr>
        <w:t>、</w:t>
      </w:r>
      <w:r>
        <w:rPr>
          <w:rFonts w:ascii="Times New Roman" w:hAnsi="Times New Roman" w:cs="Times New Roman"/>
          <w:sz w:val="21"/>
          <w:szCs w:val="21"/>
        </w:rPr>
        <w:t>2000bp)</w:t>
      </w:r>
    </w:p>
    <w:p>
      <w:pPr>
        <w:ind w:firstLine="420" w:firstLineChars="200"/>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p>
    <w:p>
      <w:pPr>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2.3</w:t>
      </w:r>
      <w:r>
        <w:rPr>
          <w:rFonts w:asciiTheme="minorEastAsia" w:hAnsiTheme="minorEastAsia" w:eastAsiaTheme="minorEastAsia"/>
          <w:sz w:val="21"/>
          <w:szCs w:val="21"/>
          <w:lang w:val="zh-CN"/>
        </w:rPr>
        <w:t xml:space="preserve"> CarbAcineto NP</w:t>
      </w:r>
      <w:r>
        <w:rPr>
          <w:rFonts w:hint="eastAsia" w:asciiTheme="minorEastAsia" w:hAnsiTheme="minorEastAsia" w:eastAsiaTheme="minorEastAsia"/>
          <w:sz w:val="21"/>
          <w:szCs w:val="21"/>
          <w:lang w:val="zh-CN"/>
        </w:rPr>
        <w:t>检测结果分析</w:t>
      </w:r>
    </w:p>
    <w:p>
      <w:pPr>
        <w:ind w:firstLine="420" w:firstLineChars="200"/>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rPr>
        <w:drawing>
          <wp:anchor distT="0" distB="0" distL="114300" distR="114300" simplePos="0" relativeHeight="251658240" behindDoc="0" locked="0" layoutInCell="1" allowOverlap="1">
            <wp:simplePos x="0" y="0"/>
            <wp:positionH relativeFrom="column">
              <wp:posOffset>1047750</wp:posOffset>
            </wp:positionH>
            <wp:positionV relativeFrom="paragraph">
              <wp:posOffset>788670</wp:posOffset>
            </wp:positionV>
            <wp:extent cx="3616960" cy="2047875"/>
            <wp:effectExtent l="19050" t="0" r="254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noChangeArrowheads="1"/>
                    </pic:cNvPicPr>
                  </pic:nvPicPr>
                  <pic:blipFill>
                    <a:blip r:embed="rId5" cstate="print"/>
                    <a:srcRect/>
                    <a:stretch>
                      <a:fillRect/>
                    </a:stretch>
                  </pic:blipFill>
                  <pic:spPr>
                    <a:xfrm>
                      <a:off x="0" y="0"/>
                      <a:ext cx="3616960" cy="2047875"/>
                    </a:xfrm>
                    <a:prstGeom prst="rect">
                      <a:avLst/>
                    </a:prstGeom>
                    <a:noFill/>
                  </pic:spPr>
                </pic:pic>
              </a:graphicData>
            </a:graphic>
          </wp:anchor>
        </w:drawing>
      </w:r>
      <w:r>
        <w:rPr>
          <w:rFonts w:hint="eastAsia" w:asciiTheme="minorEastAsia" w:hAnsiTheme="minorEastAsia" w:eastAsiaTheme="minorEastAsia"/>
          <w:sz w:val="21"/>
          <w:szCs w:val="21"/>
          <w:lang w:val="zh-CN"/>
        </w:rPr>
        <w:t xml:space="preserve"> 121株鲍曼不动杆菌中62株</w:t>
      </w:r>
      <w:r>
        <w:rPr>
          <w:rFonts w:asciiTheme="minorEastAsia" w:hAnsiTheme="minorEastAsia" w:eastAsiaTheme="minorEastAsia"/>
          <w:sz w:val="21"/>
          <w:szCs w:val="21"/>
          <w:lang w:val="zh-CN"/>
        </w:rPr>
        <w:t>CarbAcineto NP方法</w:t>
      </w:r>
      <w:r>
        <w:rPr>
          <w:rFonts w:hint="eastAsia" w:asciiTheme="minorEastAsia" w:hAnsiTheme="minorEastAsia" w:eastAsiaTheme="minorEastAsia"/>
          <w:sz w:val="21"/>
          <w:szCs w:val="21"/>
          <w:lang w:val="zh-CN"/>
        </w:rPr>
        <w:t>检测结果阳性，见图2 。</w:t>
      </w:r>
      <w:r>
        <w:rPr>
          <w:rFonts w:asciiTheme="minorEastAsia" w:hAnsiTheme="minorEastAsia" w:eastAsiaTheme="minorEastAsia"/>
          <w:sz w:val="21"/>
          <w:szCs w:val="21"/>
          <w:lang w:val="zh-CN"/>
        </w:rPr>
        <w:t>6</w:t>
      </w:r>
      <w:r>
        <w:rPr>
          <w:rFonts w:hint="eastAsia" w:asciiTheme="minorEastAsia" w:hAnsiTheme="minorEastAsia" w:eastAsiaTheme="minorEastAsia"/>
          <w:sz w:val="21"/>
          <w:szCs w:val="21"/>
          <w:lang w:val="zh-CN"/>
        </w:rPr>
        <w:t>9株对亚胺培南和美罗培南耐药，</w:t>
      </w:r>
      <w:r>
        <w:rPr>
          <w:rFonts w:asciiTheme="minorEastAsia" w:hAnsiTheme="minorEastAsia" w:eastAsiaTheme="minorEastAsia"/>
          <w:sz w:val="21"/>
          <w:szCs w:val="21"/>
          <w:lang w:val="zh-CN"/>
        </w:rPr>
        <w:t>6</w:t>
      </w:r>
      <w:r>
        <w:rPr>
          <w:rFonts w:hint="eastAsia" w:asciiTheme="minorEastAsia" w:hAnsiTheme="minorEastAsia" w:eastAsiaTheme="minorEastAsia"/>
          <w:sz w:val="21"/>
          <w:szCs w:val="21"/>
          <w:lang w:val="zh-CN"/>
        </w:rPr>
        <w:t>1株菌</w:t>
      </w:r>
      <w:r>
        <w:rPr>
          <w:rFonts w:asciiTheme="minorEastAsia" w:hAnsiTheme="minorEastAsia" w:eastAsiaTheme="minorEastAsia"/>
          <w:sz w:val="21"/>
          <w:szCs w:val="21"/>
          <w:lang w:val="zh-CN"/>
        </w:rPr>
        <w:t>CarbAcineto NP</w:t>
      </w:r>
      <w:r>
        <w:rPr>
          <w:rFonts w:hint="eastAsia" w:asciiTheme="minorEastAsia" w:hAnsiTheme="minorEastAsia" w:eastAsiaTheme="minorEastAsia"/>
          <w:sz w:val="21"/>
          <w:szCs w:val="21"/>
          <w:lang w:val="zh-CN"/>
        </w:rPr>
        <w:t>为阳性。</w:t>
      </w:r>
      <w:r>
        <w:rPr>
          <w:rFonts w:asciiTheme="minorEastAsia" w:hAnsiTheme="minorEastAsia" w:eastAsiaTheme="minorEastAsia"/>
          <w:sz w:val="21"/>
          <w:szCs w:val="21"/>
          <w:lang w:val="zh-CN"/>
        </w:rPr>
        <w:t>52</w:t>
      </w:r>
      <w:r>
        <w:rPr>
          <w:rFonts w:hint="eastAsia" w:asciiTheme="minorEastAsia" w:hAnsiTheme="minorEastAsia" w:eastAsiaTheme="minorEastAsia"/>
          <w:sz w:val="21"/>
          <w:szCs w:val="21"/>
          <w:lang w:val="zh-CN"/>
        </w:rPr>
        <w:t>株鲍曼不动杆菌对亚胺培南和美罗培南都敏感，</w:t>
      </w:r>
      <w:r>
        <w:rPr>
          <w:rFonts w:asciiTheme="minorEastAsia" w:hAnsiTheme="minorEastAsia" w:eastAsiaTheme="minorEastAsia"/>
          <w:sz w:val="21"/>
          <w:szCs w:val="21"/>
          <w:lang w:val="zh-CN"/>
        </w:rPr>
        <w:t>5</w:t>
      </w:r>
      <w:r>
        <w:rPr>
          <w:rFonts w:hint="eastAsia" w:asciiTheme="minorEastAsia" w:hAnsiTheme="minorEastAsia" w:eastAsiaTheme="minorEastAsia"/>
          <w:sz w:val="21"/>
          <w:szCs w:val="21"/>
          <w:lang w:val="zh-CN"/>
        </w:rPr>
        <w:t>0株菌</w:t>
      </w:r>
      <w:r>
        <w:rPr>
          <w:rFonts w:asciiTheme="minorEastAsia" w:hAnsiTheme="minorEastAsia" w:eastAsiaTheme="minorEastAsia"/>
          <w:sz w:val="21"/>
          <w:szCs w:val="21"/>
          <w:lang w:val="zh-CN"/>
        </w:rPr>
        <w:t>CarbAcineto NP</w:t>
      </w:r>
      <w:r>
        <w:rPr>
          <w:rFonts w:hint="eastAsia" w:asciiTheme="minorEastAsia" w:hAnsiTheme="minorEastAsia" w:eastAsiaTheme="minorEastAsia"/>
          <w:sz w:val="21"/>
          <w:szCs w:val="21"/>
          <w:lang w:val="zh-CN"/>
        </w:rPr>
        <w:t>为阴性。</w:t>
      </w:r>
      <w:r>
        <w:rPr>
          <w:rFonts w:asciiTheme="minorEastAsia" w:hAnsiTheme="minorEastAsia" w:eastAsiaTheme="minorEastAsia"/>
          <w:sz w:val="21"/>
          <w:szCs w:val="21"/>
          <w:lang w:val="zh-CN"/>
        </w:rPr>
        <w:t>1</w:t>
      </w:r>
      <w:r>
        <w:rPr>
          <w:rFonts w:hint="eastAsia" w:asciiTheme="minorEastAsia" w:hAnsiTheme="minorEastAsia" w:eastAsiaTheme="minorEastAsia"/>
          <w:sz w:val="21"/>
          <w:szCs w:val="21"/>
          <w:lang w:val="zh-CN"/>
        </w:rPr>
        <w:t>株对亚胺培南耐药，对美罗培南敏感，</w:t>
      </w:r>
      <w:r>
        <w:rPr>
          <w:rFonts w:asciiTheme="minorEastAsia" w:hAnsiTheme="minorEastAsia" w:eastAsiaTheme="minorEastAsia"/>
          <w:sz w:val="21"/>
          <w:szCs w:val="21"/>
          <w:lang w:val="zh-CN"/>
        </w:rPr>
        <w:t>CarbAcineto NP</w:t>
      </w:r>
      <w:r>
        <w:rPr>
          <w:rFonts w:hint="eastAsia" w:asciiTheme="minorEastAsia" w:hAnsiTheme="minorEastAsia" w:eastAsiaTheme="minorEastAsia"/>
          <w:sz w:val="21"/>
          <w:szCs w:val="21"/>
          <w:lang w:val="zh-CN"/>
        </w:rPr>
        <w:t>为阴性。见表1</w:t>
      </w:r>
    </w:p>
    <w:p>
      <w:pPr>
        <w:spacing w:line="440" w:lineRule="exact"/>
        <w:ind w:firstLine="567"/>
        <w:rPr>
          <w:rFonts w:hint="eastAsia" w:asciiTheme="minorEastAsia" w:hAnsiTheme="minorEastAsia" w:eastAsiaTheme="minorEastAsia"/>
          <w:sz w:val="21"/>
          <w:szCs w:val="21"/>
          <w:lang w:val="zh-CN"/>
        </w:rPr>
      </w:pPr>
    </w:p>
    <w:p>
      <w:pPr>
        <w:spacing w:line="440" w:lineRule="exact"/>
        <w:ind w:firstLine="567"/>
        <w:rPr>
          <w:rFonts w:hint="eastAsia" w:asciiTheme="minorEastAsia" w:hAnsiTheme="minorEastAsia" w:eastAsiaTheme="minorEastAsia"/>
          <w:sz w:val="21"/>
          <w:szCs w:val="21"/>
          <w:lang w:val="zh-CN"/>
        </w:rPr>
      </w:pPr>
    </w:p>
    <w:p>
      <w:pPr>
        <w:spacing w:line="440" w:lineRule="exact"/>
        <w:ind w:firstLine="567"/>
        <w:rPr>
          <w:rFonts w:hint="eastAsia" w:asciiTheme="minorEastAsia" w:hAnsiTheme="minorEastAsia" w:eastAsiaTheme="minorEastAsia"/>
          <w:sz w:val="21"/>
          <w:szCs w:val="21"/>
          <w:lang w:val="zh-CN"/>
        </w:rPr>
      </w:pPr>
    </w:p>
    <w:p>
      <w:pPr>
        <w:spacing w:line="440" w:lineRule="exact"/>
        <w:ind w:firstLine="567"/>
        <w:rPr>
          <w:rFonts w:hint="eastAsia" w:asciiTheme="minorEastAsia" w:hAnsiTheme="minorEastAsia" w:eastAsiaTheme="minorEastAsia"/>
          <w:sz w:val="21"/>
          <w:szCs w:val="21"/>
          <w:lang w:val="zh-CN"/>
        </w:rPr>
      </w:pPr>
    </w:p>
    <w:p>
      <w:pPr>
        <w:spacing w:line="440" w:lineRule="exact"/>
        <w:ind w:firstLine="567"/>
        <w:rPr>
          <w:rFonts w:hint="eastAsia" w:asciiTheme="minorEastAsia" w:hAnsiTheme="minorEastAsia" w:eastAsiaTheme="minorEastAsia"/>
          <w:sz w:val="21"/>
          <w:szCs w:val="21"/>
          <w:lang w:val="zh-CN"/>
        </w:rPr>
      </w:pPr>
    </w:p>
    <w:p>
      <w:pPr>
        <w:spacing w:line="440" w:lineRule="exact"/>
        <w:ind w:firstLine="2520" w:firstLineChars="1200"/>
        <w:rPr>
          <w:rFonts w:ascii="Times New Roman" w:hAnsi="Times New Roman" w:cs="Times New Roman"/>
          <w:sz w:val="21"/>
          <w:szCs w:val="21"/>
          <w:lang w:val="pt-BR"/>
        </w:rPr>
      </w:pPr>
      <w:r>
        <w:rPr>
          <w:rFonts w:ascii="Times New Roman" w:hAnsi="Times New Roman" w:cs="Times New Roman"/>
          <w:sz w:val="21"/>
          <w:szCs w:val="21"/>
          <w:lang w:val="pt-BR"/>
        </w:rPr>
        <w:t>Fig.</w:t>
      </w:r>
      <w:r>
        <w:rPr>
          <w:rFonts w:hint="eastAsia" w:ascii="Times New Roman" w:hAnsi="Times New Roman" w:cs="Times New Roman"/>
          <w:sz w:val="21"/>
          <w:szCs w:val="21"/>
          <w:lang w:val="pt-BR"/>
        </w:rPr>
        <w:t xml:space="preserve">2   </w:t>
      </w:r>
      <w:r>
        <w:rPr>
          <w:rFonts w:ascii="Times New Roman" w:hAnsi="Times New Roman" w:cs="Times New Roman"/>
          <w:sz w:val="21"/>
          <w:szCs w:val="21"/>
          <w:lang w:val="pt-BR"/>
        </w:rPr>
        <w:t xml:space="preserve"> Part of the results of CarbAcineto NP.</w:t>
      </w:r>
    </w:p>
    <w:p>
      <w:pPr>
        <w:spacing w:line="440" w:lineRule="exact"/>
        <w:jc w:val="center"/>
        <w:rPr>
          <w:rFonts w:ascii="Times New Roman" w:hAnsi="Times New Roman" w:cs="Times New Roman"/>
          <w:sz w:val="21"/>
          <w:szCs w:val="21"/>
        </w:rPr>
      </w:pPr>
      <w:r>
        <w:rPr>
          <w:rFonts w:hint="eastAsia" w:ascii="Times New Roman" w:hAnsi="Times New Roman" w:cs="Times New Roman"/>
          <w:sz w:val="21"/>
          <w:szCs w:val="21"/>
        </w:rPr>
        <w:t xml:space="preserve">           </w:t>
      </w:r>
      <w:r>
        <w:rPr>
          <w:rFonts w:ascii="Times New Roman" w:hAnsi="Times New Roman" w:cs="Times New Roman"/>
          <w:sz w:val="21"/>
          <w:szCs w:val="21"/>
        </w:rPr>
        <w:t>1705</w:t>
      </w:r>
      <w:r>
        <w:rPr>
          <w:rFonts w:ascii="Times New Roman" w:cs="Times New Roman"/>
          <w:sz w:val="21"/>
          <w:szCs w:val="21"/>
        </w:rPr>
        <w:t>：阳性对照</w:t>
      </w:r>
      <w:r>
        <w:rPr>
          <w:rFonts w:hint="eastAsia" w:ascii="Times New Roman" w:cs="Times New Roman"/>
          <w:sz w:val="21"/>
          <w:szCs w:val="21"/>
        </w:rPr>
        <w:t xml:space="preserve">  </w:t>
      </w:r>
      <w:r>
        <w:rPr>
          <w:rFonts w:ascii="Times New Roman" w:hAnsi="Times New Roman" w:cs="Times New Roman"/>
          <w:sz w:val="21"/>
          <w:szCs w:val="21"/>
        </w:rPr>
        <w:t xml:space="preserve"> 1706</w:t>
      </w:r>
      <w:r>
        <w:rPr>
          <w:rFonts w:ascii="Times New Roman" w:cs="Times New Roman"/>
          <w:sz w:val="21"/>
          <w:szCs w:val="21"/>
        </w:rPr>
        <w:t>：阴性对照</w:t>
      </w:r>
    </w:p>
    <w:p>
      <w:pPr>
        <w:spacing w:line="440" w:lineRule="exact"/>
        <w:jc w:val="center"/>
        <w:rPr>
          <w:rFonts w:asciiTheme="minorEastAsia" w:hAnsiTheme="minorEastAsia" w:eastAsiaTheme="minorEastAsia"/>
          <w:b/>
          <w:sz w:val="21"/>
          <w:szCs w:val="21"/>
          <w:lang w:val="zh-CN"/>
        </w:rPr>
      </w:pPr>
      <w:r>
        <w:rPr>
          <w:rFonts w:hint="eastAsia" w:asciiTheme="minorEastAsia" w:hAnsiTheme="minorEastAsia" w:eastAsiaTheme="minorEastAsia"/>
          <w:b/>
          <w:sz w:val="21"/>
          <w:szCs w:val="21"/>
          <w:lang w:val="zh-CN"/>
        </w:rPr>
        <w:t>表1</w:t>
      </w:r>
      <w:r>
        <w:rPr>
          <w:rFonts w:asciiTheme="minorEastAsia" w:hAnsiTheme="minorEastAsia" w:eastAsiaTheme="minorEastAsia"/>
          <w:b/>
          <w:sz w:val="21"/>
          <w:szCs w:val="21"/>
          <w:lang w:val="zh-CN"/>
        </w:rPr>
        <w:t xml:space="preserve"> CarbAcineto NP</w:t>
      </w:r>
      <w:r>
        <w:rPr>
          <w:rFonts w:hint="eastAsia" w:asciiTheme="minorEastAsia" w:hAnsiTheme="minorEastAsia" w:eastAsiaTheme="minorEastAsia"/>
          <w:b/>
          <w:sz w:val="21"/>
          <w:szCs w:val="21"/>
          <w:lang w:val="zh-CN"/>
        </w:rPr>
        <w:t>和</w:t>
      </w:r>
      <w:r>
        <w:rPr>
          <w:rFonts w:asciiTheme="minorEastAsia" w:hAnsiTheme="minorEastAsia" w:eastAsiaTheme="minorEastAsia"/>
          <w:b/>
          <w:sz w:val="21"/>
          <w:szCs w:val="21"/>
          <w:lang w:val="zh-CN"/>
        </w:rPr>
        <w:t>OXA-23</w:t>
      </w:r>
      <w:r>
        <w:rPr>
          <w:rFonts w:hint="eastAsia" w:asciiTheme="minorEastAsia" w:hAnsiTheme="minorEastAsia" w:eastAsiaTheme="minorEastAsia"/>
          <w:b/>
          <w:sz w:val="21"/>
          <w:szCs w:val="21"/>
          <w:lang w:val="zh-CN"/>
        </w:rPr>
        <w:t>的结果和耐药性分析</w:t>
      </w:r>
    </w:p>
    <w:p>
      <w:pPr>
        <w:spacing w:line="440" w:lineRule="exact"/>
        <w:jc w:val="center"/>
        <w:rPr>
          <w:rFonts w:ascii="Times New Roman" w:hAnsi="Times New Roman" w:cs="Times New Roman" w:eastAsiaTheme="minorEastAsia"/>
          <w:b/>
          <w:sz w:val="21"/>
          <w:szCs w:val="21"/>
          <w:lang w:val="zh-CN"/>
        </w:rPr>
      </w:pPr>
      <w:r>
        <w:rPr>
          <w:rFonts w:ascii="Times New Roman" w:hAnsi="Times New Roman" w:cs="Times New Roman" w:eastAsiaTheme="minorEastAsia"/>
          <w:b/>
          <w:sz w:val="21"/>
          <w:szCs w:val="21"/>
          <w:lang w:val="zh-CN"/>
        </w:rPr>
        <w:t>Table1  Resistant comparison with CarbAcineto NP and OXA-23</w:t>
      </w:r>
    </w:p>
    <w:tbl>
      <w:tblPr>
        <w:tblStyle w:val="4"/>
        <w:tblW w:w="8522" w:type="dxa"/>
        <w:tblInd w:w="0" w:type="dxa"/>
        <w:tblLayout w:type="fixed"/>
        <w:tblCellMar>
          <w:top w:w="0" w:type="dxa"/>
          <w:left w:w="108" w:type="dxa"/>
          <w:bottom w:w="0" w:type="dxa"/>
          <w:right w:w="108" w:type="dxa"/>
        </w:tblCellMar>
      </w:tblPr>
      <w:tblGrid>
        <w:gridCol w:w="2034"/>
        <w:gridCol w:w="1650"/>
        <w:gridCol w:w="1583"/>
        <w:gridCol w:w="1992"/>
        <w:gridCol w:w="1263"/>
      </w:tblGrid>
      <w:tr>
        <w:tblPrEx>
          <w:tblLayout w:type="fixed"/>
          <w:tblCellMar>
            <w:top w:w="0" w:type="dxa"/>
            <w:left w:w="108" w:type="dxa"/>
            <w:bottom w:w="0" w:type="dxa"/>
            <w:right w:w="108" w:type="dxa"/>
          </w:tblCellMar>
        </w:tblPrEx>
        <w:trPr>
          <w:trHeight w:val="360" w:hRule="atLeast"/>
        </w:trPr>
        <w:tc>
          <w:tcPr>
            <w:tcW w:w="2034" w:type="dxa"/>
            <w:vMerge w:val="restart"/>
            <w:tcBorders>
              <w:top w:val="single" w:color="000000" w:sz="2" w:space="0"/>
              <w:left w:val="nil"/>
              <w:bottom w:val="single" w:color="000000" w:sz="2" w:space="0"/>
              <w:right w:val="nil"/>
            </w:tcBorders>
            <w:vAlign w:val="center"/>
          </w:tcPr>
          <w:p>
            <w:pPr>
              <w:spacing w:line="440" w:lineRule="exact"/>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鲍曼不动杆菌</w:t>
            </w:r>
          </w:p>
        </w:tc>
        <w:tc>
          <w:tcPr>
            <w:tcW w:w="3233" w:type="dxa"/>
            <w:gridSpan w:val="2"/>
            <w:tcBorders>
              <w:top w:val="single" w:color="000000" w:sz="2" w:space="0"/>
              <w:left w:val="nil"/>
              <w:bottom w:val="single" w:color="000000" w:sz="2" w:space="0"/>
              <w:right w:val="nil"/>
            </w:tcBorders>
            <w:vAlign w:val="bottom"/>
          </w:tcPr>
          <w:p>
            <w:pPr>
              <w:spacing w:line="440" w:lineRule="exact"/>
              <w:ind w:firstLine="1155" w:firstLineChars="55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MIC (mg/L)</w:t>
            </w:r>
          </w:p>
        </w:tc>
        <w:tc>
          <w:tcPr>
            <w:tcW w:w="1992" w:type="dxa"/>
            <w:vMerge w:val="restart"/>
            <w:tcBorders>
              <w:top w:val="single" w:color="000000" w:sz="2" w:space="0"/>
              <w:left w:val="nil"/>
              <w:bottom w:val="single" w:color="000000" w:sz="2" w:space="0"/>
              <w:right w:val="nil"/>
            </w:tcBorders>
            <w:vAlign w:val="center"/>
          </w:tcPr>
          <w:p>
            <w:pPr>
              <w:spacing w:line="440" w:lineRule="exact"/>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 xml:space="preserve">CarbAcineto </w:t>
            </w:r>
          </w:p>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NP</w:t>
            </w:r>
          </w:p>
        </w:tc>
        <w:tc>
          <w:tcPr>
            <w:tcW w:w="1263" w:type="dxa"/>
            <w:vMerge w:val="restart"/>
            <w:tcBorders>
              <w:top w:val="single" w:color="000000" w:sz="2" w:space="0"/>
              <w:left w:val="nil"/>
              <w:bottom w:val="single" w:color="000000" w:sz="2" w:space="0"/>
              <w:right w:val="nil"/>
            </w:tcBorders>
            <w:vAlign w:val="center"/>
          </w:tcPr>
          <w:p>
            <w:pPr>
              <w:spacing w:line="440" w:lineRule="exact"/>
              <w:ind w:firstLine="210" w:firstLineChars="10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OXA-23</w:t>
            </w:r>
          </w:p>
        </w:tc>
      </w:tr>
      <w:tr>
        <w:tblPrEx>
          <w:tblLayout w:type="fixed"/>
          <w:tblCellMar>
            <w:top w:w="0" w:type="dxa"/>
            <w:left w:w="108" w:type="dxa"/>
            <w:bottom w:w="0" w:type="dxa"/>
            <w:right w:w="108" w:type="dxa"/>
          </w:tblCellMar>
        </w:tblPrEx>
        <w:trPr>
          <w:trHeight w:val="396" w:hRule="atLeast"/>
        </w:trPr>
        <w:tc>
          <w:tcPr>
            <w:tcW w:w="2034" w:type="dxa"/>
            <w:vMerge w:val="continue"/>
            <w:tcBorders>
              <w:top w:val="nil"/>
              <w:left w:val="nil"/>
              <w:bottom w:val="single" w:color="auto" w:sz="4" w:space="0"/>
              <w:right w:val="nil"/>
            </w:tcBorders>
            <w:shd w:val="clear" w:color="000000" w:fill="FFFFFF"/>
            <w:vAlign w:val="center"/>
          </w:tcPr>
          <w:p>
            <w:pPr>
              <w:spacing w:line="440" w:lineRule="exact"/>
              <w:ind w:firstLine="567"/>
              <w:rPr>
                <w:rFonts w:asciiTheme="minorEastAsia" w:hAnsiTheme="minorEastAsia" w:eastAsiaTheme="minorEastAsia"/>
                <w:sz w:val="21"/>
                <w:szCs w:val="21"/>
                <w:lang w:val="zh-CN"/>
              </w:rPr>
            </w:pPr>
          </w:p>
        </w:tc>
        <w:tc>
          <w:tcPr>
            <w:tcW w:w="1650" w:type="dxa"/>
            <w:tcBorders>
              <w:top w:val="single" w:color="000000" w:sz="2" w:space="0"/>
              <w:left w:val="nil"/>
              <w:bottom w:val="single" w:color="auto" w:sz="4" w:space="0"/>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亚胺培南</w:t>
            </w:r>
          </w:p>
        </w:tc>
        <w:tc>
          <w:tcPr>
            <w:tcW w:w="1583" w:type="dxa"/>
            <w:tcBorders>
              <w:top w:val="single" w:color="000000" w:sz="2" w:space="0"/>
              <w:left w:val="nil"/>
              <w:bottom w:val="single" w:color="auto" w:sz="4" w:space="0"/>
              <w:right w:val="nil"/>
            </w:tcBorders>
            <w:vAlign w:val="bottom"/>
          </w:tcPr>
          <w:p>
            <w:pPr>
              <w:spacing w:line="440" w:lineRule="exact"/>
              <w:ind w:firstLine="315" w:firstLineChars="150"/>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美罗培南</w:t>
            </w:r>
          </w:p>
        </w:tc>
        <w:tc>
          <w:tcPr>
            <w:tcW w:w="1992" w:type="dxa"/>
            <w:vMerge w:val="continue"/>
            <w:tcBorders>
              <w:top w:val="nil"/>
              <w:left w:val="nil"/>
              <w:bottom w:val="single" w:color="auto" w:sz="4" w:space="0"/>
              <w:right w:val="nil"/>
            </w:tcBorders>
            <w:shd w:val="clear" w:color="000000" w:fill="FFFFFF"/>
            <w:vAlign w:val="center"/>
          </w:tcPr>
          <w:p>
            <w:pPr>
              <w:spacing w:line="440" w:lineRule="exact"/>
              <w:ind w:firstLine="567"/>
              <w:rPr>
                <w:rFonts w:asciiTheme="minorEastAsia" w:hAnsiTheme="minorEastAsia" w:eastAsiaTheme="minorEastAsia"/>
                <w:sz w:val="21"/>
                <w:szCs w:val="21"/>
                <w:lang w:val="zh-CN"/>
              </w:rPr>
            </w:pPr>
          </w:p>
        </w:tc>
        <w:tc>
          <w:tcPr>
            <w:tcW w:w="1263" w:type="dxa"/>
            <w:vMerge w:val="continue"/>
            <w:tcBorders>
              <w:top w:val="nil"/>
              <w:left w:val="nil"/>
              <w:bottom w:val="single" w:color="auto" w:sz="4" w:space="0"/>
              <w:right w:val="nil"/>
            </w:tcBorders>
            <w:shd w:val="clear" w:color="000000" w:fill="FFFFFF"/>
            <w:vAlign w:val="center"/>
          </w:tcPr>
          <w:p>
            <w:pPr>
              <w:spacing w:line="440" w:lineRule="exact"/>
              <w:ind w:firstLine="567"/>
              <w:rPr>
                <w:rFonts w:asciiTheme="minorEastAsia" w:hAnsiTheme="minorEastAsia" w:eastAsiaTheme="minorEastAsia"/>
                <w:sz w:val="21"/>
                <w:szCs w:val="21"/>
                <w:lang w:val="zh-CN"/>
              </w:rPr>
            </w:pPr>
          </w:p>
        </w:tc>
      </w:tr>
      <w:tr>
        <w:tblPrEx>
          <w:tblLayout w:type="fixed"/>
          <w:tblCellMar>
            <w:top w:w="0" w:type="dxa"/>
            <w:left w:w="108" w:type="dxa"/>
            <w:bottom w:w="0" w:type="dxa"/>
            <w:right w:w="108" w:type="dxa"/>
          </w:tblCellMar>
        </w:tblPrEx>
        <w:trPr>
          <w:trHeight w:val="542" w:hRule="atLeast"/>
        </w:trPr>
        <w:tc>
          <w:tcPr>
            <w:tcW w:w="2034" w:type="dxa"/>
            <w:tcBorders>
              <w:top w:val="single" w:color="auto" w:sz="4" w:space="0"/>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48株</w:t>
            </w:r>
          </w:p>
        </w:tc>
        <w:tc>
          <w:tcPr>
            <w:tcW w:w="1650" w:type="dxa"/>
            <w:tcBorders>
              <w:top w:val="single" w:color="auto" w:sz="4" w:space="0"/>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w:t>
            </w:r>
          </w:p>
        </w:tc>
        <w:tc>
          <w:tcPr>
            <w:tcW w:w="1583" w:type="dxa"/>
            <w:tcBorders>
              <w:top w:val="single" w:color="auto" w:sz="4" w:space="0"/>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w:t>
            </w:r>
          </w:p>
        </w:tc>
        <w:tc>
          <w:tcPr>
            <w:tcW w:w="1992" w:type="dxa"/>
            <w:tcBorders>
              <w:top w:val="single" w:color="auto" w:sz="4" w:space="0"/>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c>
          <w:tcPr>
            <w:tcW w:w="1263" w:type="dxa"/>
            <w:tcBorders>
              <w:top w:val="single" w:color="auto" w:sz="4" w:space="0"/>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r>
      <w:tr>
        <w:tblPrEx>
          <w:tblLayout w:type="fixed"/>
          <w:tblCellMar>
            <w:top w:w="0" w:type="dxa"/>
            <w:left w:w="108" w:type="dxa"/>
            <w:bottom w:w="0" w:type="dxa"/>
            <w:right w:w="108" w:type="dxa"/>
          </w:tblCellMar>
        </w:tblPrEx>
        <w:trPr>
          <w:trHeight w:val="375" w:hRule="atLeast"/>
        </w:trPr>
        <w:tc>
          <w:tcPr>
            <w:tcW w:w="2034"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60株</w:t>
            </w:r>
          </w:p>
        </w:tc>
        <w:tc>
          <w:tcPr>
            <w:tcW w:w="1650"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8或≥16</w:t>
            </w:r>
          </w:p>
        </w:tc>
        <w:tc>
          <w:tcPr>
            <w:tcW w:w="158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≥16</w:t>
            </w:r>
          </w:p>
        </w:tc>
        <w:tc>
          <w:tcPr>
            <w:tcW w:w="1992"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c>
          <w:tcPr>
            <w:tcW w:w="126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r>
      <w:tr>
        <w:tblPrEx>
          <w:tblLayout w:type="fixed"/>
          <w:tblCellMar>
            <w:top w:w="0" w:type="dxa"/>
            <w:left w:w="108" w:type="dxa"/>
            <w:bottom w:w="0" w:type="dxa"/>
            <w:right w:w="108" w:type="dxa"/>
          </w:tblCellMar>
        </w:tblPrEx>
        <w:trPr>
          <w:trHeight w:val="375" w:hRule="atLeast"/>
        </w:trPr>
        <w:tc>
          <w:tcPr>
            <w:tcW w:w="2034"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bookmarkStart w:id="4" w:name="_Hlk442847708"/>
            <w:r>
              <w:rPr>
                <w:rFonts w:asciiTheme="minorEastAsia" w:hAnsiTheme="minorEastAsia" w:eastAsiaTheme="minorEastAsia"/>
                <w:sz w:val="21"/>
                <w:szCs w:val="21"/>
                <w:lang w:val="zh-CN"/>
              </w:rPr>
              <w:t>1株</w:t>
            </w:r>
          </w:p>
        </w:tc>
        <w:tc>
          <w:tcPr>
            <w:tcW w:w="1650"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w:t>
            </w:r>
          </w:p>
        </w:tc>
        <w:tc>
          <w:tcPr>
            <w:tcW w:w="158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w:t>
            </w:r>
          </w:p>
        </w:tc>
        <w:tc>
          <w:tcPr>
            <w:tcW w:w="1992"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c>
          <w:tcPr>
            <w:tcW w:w="126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r>
      <w:bookmarkEnd w:id="4"/>
      <w:tr>
        <w:tblPrEx>
          <w:tblLayout w:type="fixed"/>
          <w:tblCellMar>
            <w:top w:w="0" w:type="dxa"/>
            <w:left w:w="108" w:type="dxa"/>
            <w:bottom w:w="0" w:type="dxa"/>
            <w:right w:w="108" w:type="dxa"/>
          </w:tblCellMar>
        </w:tblPrEx>
        <w:trPr>
          <w:trHeight w:val="375" w:hRule="atLeast"/>
        </w:trPr>
        <w:tc>
          <w:tcPr>
            <w:tcW w:w="2034"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1株</w:t>
            </w:r>
          </w:p>
        </w:tc>
        <w:tc>
          <w:tcPr>
            <w:tcW w:w="1650"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≥16</w:t>
            </w:r>
          </w:p>
        </w:tc>
        <w:tc>
          <w:tcPr>
            <w:tcW w:w="158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2</w:t>
            </w:r>
          </w:p>
        </w:tc>
        <w:tc>
          <w:tcPr>
            <w:tcW w:w="1992"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c>
          <w:tcPr>
            <w:tcW w:w="126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r>
      <w:tr>
        <w:tblPrEx>
          <w:tblLayout w:type="fixed"/>
          <w:tblCellMar>
            <w:top w:w="0" w:type="dxa"/>
            <w:left w:w="108" w:type="dxa"/>
            <w:bottom w:w="0" w:type="dxa"/>
            <w:right w:w="108" w:type="dxa"/>
          </w:tblCellMar>
        </w:tblPrEx>
        <w:trPr>
          <w:trHeight w:val="375" w:hRule="atLeast"/>
        </w:trPr>
        <w:tc>
          <w:tcPr>
            <w:tcW w:w="2034"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6株</w:t>
            </w:r>
          </w:p>
        </w:tc>
        <w:tc>
          <w:tcPr>
            <w:tcW w:w="1650"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≥16</w:t>
            </w:r>
          </w:p>
        </w:tc>
        <w:tc>
          <w:tcPr>
            <w:tcW w:w="158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≥16</w:t>
            </w:r>
          </w:p>
        </w:tc>
        <w:tc>
          <w:tcPr>
            <w:tcW w:w="1992"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c>
          <w:tcPr>
            <w:tcW w:w="126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r>
      <w:tr>
        <w:tblPrEx>
          <w:tblLayout w:type="fixed"/>
          <w:tblCellMar>
            <w:top w:w="0" w:type="dxa"/>
            <w:left w:w="108" w:type="dxa"/>
            <w:bottom w:w="0" w:type="dxa"/>
            <w:right w:w="108" w:type="dxa"/>
          </w:tblCellMar>
        </w:tblPrEx>
        <w:trPr>
          <w:trHeight w:val="375" w:hRule="atLeast"/>
        </w:trPr>
        <w:tc>
          <w:tcPr>
            <w:tcW w:w="2034"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1株</w:t>
            </w:r>
          </w:p>
        </w:tc>
        <w:tc>
          <w:tcPr>
            <w:tcW w:w="1650"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≥16</w:t>
            </w:r>
          </w:p>
        </w:tc>
        <w:tc>
          <w:tcPr>
            <w:tcW w:w="158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≥16</w:t>
            </w:r>
          </w:p>
        </w:tc>
        <w:tc>
          <w:tcPr>
            <w:tcW w:w="1992"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c>
          <w:tcPr>
            <w:tcW w:w="126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r>
      <w:tr>
        <w:tblPrEx>
          <w:tblLayout w:type="fixed"/>
          <w:tblCellMar>
            <w:top w:w="0" w:type="dxa"/>
            <w:left w:w="108" w:type="dxa"/>
            <w:bottom w:w="0" w:type="dxa"/>
            <w:right w:w="108" w:type="dxa"/>
          </w:tblCellMar>
        </w:tblPrEx>
        <w:trPr>
          <w:trHeight w:val="375" w:hRule="atLeast"/>
        </w:trPr>
        <w:tc>
          <w:tcPr>
            <w:tcW w:w="2034"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2株</w:t>
            </w:r>
          </w:p>
        </w:tc>
        <w:tc>
          <w:tcPr>
            <w:tcW w:w="1650"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w:t>
            </w:r>
          </w:p>
        </w:tc>
        <w:tc>
          <w:tcPr>
            <w:tcW w:w="158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w:t>
            </w:r>
          </w:p>
        </w:tc>
        <w:tc>
          <w:tcPr>
            <w:tcW w:w="1992"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c>
          <w:tcPr>
            <w:tcW w:w="1263" w:type="dxa"/>
            <w:tcBorders>
              <w:top w:val="nil"/>
              <w:left w:val="nil"/>
              <w:bottom w:val="nil"/>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r>
      <w:tr>
        <w:tblPrEx>
          <w:tblLayout w:type="fixed"/>
          <w:tblCellMar>
            <w:top w:w="0" w:type="dxa"/>
            <w:left w:w="108" w:type="dxa"/>
            <w:bottom w:w="0" w:type="dxa"/>
            <w:right w:w="108" w:type="dxa"/>
          </w:tblCellMar>
        </w:tblPrEx>
        <w:trPr>
          <w:trHeight w:val="375" w:hRule="atLeast"/>
        </w:trPr>
        <w:tc>
          <w:tcPr>
            <w:tcW w:w="2034" w:type="dxa"/>
            <w:tcBorders>
              <w:top w:val="nil"/>
              <w:left w:val="nil"/>
              <w:bottom w:val="single" w:color="000000" w:sz="2" w:space="0"/>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2株</w:t>
            </w:r>
          </w:p>
        </w:tc>
        <w:tc>
          <w:tcPr>
            <w:tcW w:w="1650" w:type="dxa"/>
            <w:tcBorders>
              <w:top w:val="nil"/>
              <w:left w:val="nil"/>
              <w:bottom w:val="single" w:color="000000" w:sz="2" w:space="0"/>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≥16</w:t>
            </w:r>
          </w:p>
        </w:tc>
        <w:tc>
          <w:tcPr>
            <w:tcW w:w="1583" w:type="dxa"/>
            <w:tcBorders>
              <w:top w:val="nil"/>
              <w:left w:val="nil"/>
              <w:bottom w:val="single" w:color="000000" w:sz="2" w:space="0"/>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≥16</w:t>
            </w:r>
          </w:p>
        </w:tc>
        <w:tc>
          <w:tcPr>
            <w:tcW w:w="1992" w:type="dxa"/>
            <w:tcBorders>
              <w:top w:val="nil"/>
              <w:left w:val="nil"/>
              <w:bottom w:val="single" w:color="000000" w:sz="2" w:space="0"/>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c>
          <w:tcPr>
            <w:tcW w:w="1263" w:type="dxa"/>
            <w:tcBorders>
              <w:top w:val="nil"/>
              <w:left w:val="nil"/>
              <w:bottom w:val="single" w:color="000000" w:sz="2" w:space="0"/>
              <w:right w:val="nil"/>
            </w:tcBorders>
            <w:vAlign w:val="bottom"/>
          </w:tcPr>
          <w:p>
            <w:pPr>
              <w:spacing w:line="440" w:lineRule="exact"/>
              <w:ind w:firstLine="567"/>
              <w:rPr>
                <w:rFonts w:asciiTheme="minorEastAsia" w:hAnsiTheme="minorEastAsia" w:eastAsiaTheme="minorEastAsia"/>
                <w:sz w:val="21"/>
                <w:szCs w:val="21"/>
                <w:lang w:val="zh-CN"/>
              </w:rPr>
            </w:pPr>
            <w:r>
              <w:rPr>
                <w:rFonts w:asciiTheme="minorEastAsia" w:hAnsiTheme="minorEastAsia" w:eastAsiaTheme="minorEastAsia"/>
                <w:sz w:val="21"/>
                <w:szCs w:val="21"/>
                <w:lang w:val="zh-CN"/>
              </w:rPr>
              <w:t>-</w:t>
            </w:r>
          </w:p>
        </w:tc>
      </w:tr>
    </w:tbl>
    <w:p>
      <w:pPr>
        <w:spacing w:line="440" w:lineRule="exact"/>
        <w:rPr>
          <w:rFonts w:ascii="宋体" w:hAnsi="宋体" w:eastAsia="宋体"/>
          <w:sz w:val="21"/>
          <w:szCs w:val="21"/>
          <w:lang w:val="zh-CN"/>
        </w:rPr>
      </w:pPr>
      <w:r>
        <w:rPr>
          <w:rFonts w:hint="eastAsia" w:ascii="宋体" w:hAnsi="宋体" w:eastAsia="宋体"/>
          <w:sz w:val="21"/>
          <w:szCs w:val="21"/>
          <w:lang w:val="zh-CN"/>
        </w:rPr>
        <w:t xml:space="preserve">2.4  </w:t>
      </w:r>
      <w:r>
        <w:rPr>
          <w:rFonts w:ascii="宋体" w:hAnsi="宋体" w:eastAsia="宋体"/>
          <w:sz w:val="21"/>
          <w:szCs w:val="21"/>
          <w:lang w:val="zh-CN"/>
        </w:rPr>
        <w:t>CarbAcineto NP</w:t>
      </w:r>
      <w:r>
        <w:rPr>
          <w:rFonts w:hint="eastAsia" w:ascii="宋体" w:hAnsi="宋体" w:eastAsia="宋体"/>
          <w:sz w:val="21"/>
          <w:szCs w:val="21"/>
          <w:lang w:val="zh-CN"/>
        </w:rPr>
        <w:t>和</w:t>
      </w:r>
      <w:r>
        <w:rPr>
          <w:rFonts w:ascii="宋体" w:hAnsi="宋体" w:eastAsia="宋体"/>
          <w:sz w:val="21"/>
          <w:szCs w:val="21"/>
          <w:lang w:val="zh-CN"/>
        </w:rPr>
        <w:t>OXA-23</w:t>
      </w:r>
      <w:r>
        <w:rPr>
          <w:rFonts w:hint="eastAsia" w:ascii="宋体" w:hAnsi="宋体" w:eastAsia="宋体"/>
          <w:sz w:val="21"/>
          <w:szCs w:val="21"/>
          <w:lang w:val="zh-CN"/>
        </w:rPr>
        <w:t xml:space="preserve">的结果比对  </w:t>
      </w:r>
    </w:p>
    <w:p>
      <w:pPr>
        <w:spacing w:line="440" w:lineRule="exact"/>
        <w:ind w:firstLine="567"/>
        <w:rPr>
          <w:rFonts w:hint="eastAsia" w:ascii="宋体" w:hAnsi="宋体" w:eastAsia="宋体"/>
          <w:sz w:val="21"/>
          <w:szCs w:val="21"/>
          <w:lang w:val="zh-CN"/>
        </w:rPr>
      </w:pPr>
      <w:r>
        <w:rPr>
          <w:rFonts w:hint="eastAsia" w:ascii="宋体" w:hAnsi="宋体" w:eastAsia="宋体"/>
          <w:sz w:val="21"/>
          <w:szCs w:val="21"/>
          <w:lang w:val="zh-CN"/>
        </w:rPr>
        <w:t xml:space="preserve"> 以OXA-23为标准，</w:t>
      </w:r>
      <w:r>
        <w:rPr>
          <w:rFonts w:ascii="宋体" w:hAnsi="宋体" w:eastAsia="宋体"/>
          <w:sz w:val="21"/>
          <w:szCs w:val="21"/>
          <w:lang w:val="zh-CN"/>
        </w:rPr>
        <w:t>CarbAcineto NP</w:t>
      </w:r>
      <w:r>
        <w:rPr>
          <w:rFonts w:hint="eastAsia" w:ascii="宋体" w:hAnsi="宋体" w:eastAsia="宋体"/>
          <w:sz w:val="21"/>
          <w:szCs w:val="21"/>
          <w:lang w:val="zh-CN"/>
        </w:rPr>
        <w:t>阳性检测能力为60/69，阳性预测值为86.9%，阴性检测能力为50/52，阴性预测值为96.2%，结果见表2。</w:t>
      </w:r>
    </w:p>
    <w:p>
      <w:pPr>
        <w:spacing w:line="440" w:lineRule="exact"/>
        <w:jc w:val="center"/>
        <w:rPr>
          <w:rFonts w:ascii="宋体" w:hAnsi="宋体" w:eastAsia="宋体"/>
          <w:b/>
          <w:sz w:val="21"/>
          <w:szCs w:val="21"/>
          <w:lang w:val="zh-CN"/>
        </w:rPr>
      </w:pPr>
      <w:r>
        <w:rPr>
          <w:rFonts w:hint="eastAsia" w:ascii="宋体" w:hAnsi="宋体" w:eastAsia="宋体"/>
          <w:b/>
          <w:sz w:val="21"/>
          <w:szCs w:val="21"/>
          <w:lang w:val="zh-CN"/>
        </w:rPr>
        <w:t>表2</w:t>
      </w:r>
      <w:r>
        <w:rPr>
          <w:rFonts w:ascii="宋体" w:hAnsi="宋体" w:eastAsia="宋体"/>
          <w:b/>
          <w:sz w:val="21"/>
          <w:szCs w:val="21"/>
          <w:lang w:val="zh-CN"/>
        </w:rPr>
        <w:t xml:space="preserve"> CarbAcineto NP</w:t>
      </w:r>
      <w:r>
        <w:rPr>
          <w:rFonts w:hint="eastAsia" w:ascii="宋体" w:hAnsi="宋体" w:eastAsia="宋体"/>
          <w:b/>
          <w:sz w:val="21"/>
          <w:szCs w:val="21"/>
          <w:lang w:val="zh-CN"/>
        </w:rPr>
        <w:t>和</w:t>
      </w:r>
      <w:r>
        <w:rPr>
          <w:rFonts w:ascii="宋体" w:hAnsi="宋体" w:eastAsia="宋体"/>
          <w:b/>
          <w:sz w:val="21"/>
          <w:szCs w:val="21"/>
          <w:lang w:val="zh-CN"/>
        </w:rPr>
        <w:t>OXA-23</w:t>
      </w:r>
      <w:r>
        <w:rPr>
          <w:rFonts w:hint="eastAsia" w:ascii="宋体" w:hAnsi="宋体" w:eastAsia="宋体"/>
          <w:b/>
          <w:sz w:val="21"/>
          <w:szCs w:val="21"/>
          <w:lang w:val="zh-CN"/>
        </w:rPr>
        <w:t>的结果比较</w:t>
      </w:r>
    </w:p>
    <w:p>
      <w:pPr>
        <w:spacing w:line="440" w:lineRule="exact"/>
        <w:ind w:firstLine="567"/>
        <w:jc w:val="center"/>
        <w:rPr>
          <w:rFonts w:ascii="Times New Roman" w:hAnsi="Times New Roman" w:cs="Times New Roman" w:eastAsiaTheme="minorEastAsia"/>
          <w:b/>
          <w:sz w:val="21"/>
          <w:szCs w:val="21"/>
          <w:lang w:val="zh-CN"/>
        </w:rPr>
      </w:pPr>
      <w:r>
        <w:rPr>
          <w:rFonts w:ascii="Times New Roman" w:hAnsi="Times New Roman" w:cs="Times New Roman" w:eastAsiaTheme="minorEastAsia"/>
          <w:b/>
          <w:sz w:val="21"/>
          <w:szCs w:val="21"/>
          <w:lang w:val="zh-CN"/>
        </w:rPr>
        <w:t>Table2 validation results of CarbAcineto NP and OXA-23</w:t>
      </w:r>
    </w:p>
    <w:tbl>
      <w:tblPr>
        <w:tblStyle w:val="4"/>
        <w:tblW w:w="6055" w:type="dxa"/>
        <w:jc w:val="center"/>
        <w:tblInd w:w="0" w:type="dxa"/>
        <w:tblLayout w:type="fixed"/>
        <w:tblCellMar>
          <w:top w:w="0" w:type="dxa"/>
          <w:left w:w="108" w:type="dxa"/>
          <w:bottom w:w="0" w:type="dxa"/>
          <w:right w:w="108" w:type="dxa"/>
        </w:tblCellMar>
      </w:tblPr>
      <w:tblGrid>
        <w:gridCol w:w="1927"/>
        <w:gridCol w:w="1555"/>
        <w:gridCol w:w="1152"/>
        <w:gridCol w:w="1421"/>
      </w:tblGrid>
      <w:tr>
        <w:tblPrEx>
          <w:tblLayout w:type="fixed"/>
          <w:tblCellMar>
            <w:top w:w="0" w:type="dxa"/>
            <w:left w:w="108" w:type="dxa"/>
            <w:bottom w:w="0" w:type="dxa"/>
            <w:right w:w="108" w:type="dxa"/>
          </w:tblCellMar>
        </w:tblPrEx>
        <w:trPr>
          <w:trHeight w:val="270" w:hRule="atLeast"/>
          <w:jc w:val="center"/>
        </w:trPr>
        <w:tc>
          <w:tcPr>
            <w:tcW w:w="1927" w:type="dxa"/>
            <w:vMerge w:val="restart"/>
            <w:tcBorders>
              <w:top w:val="single" w:color="000000" w:sz="2" w:space="0"/>
              <w:left w:val="nil"/>
              <w:bottom w:val="single" w:color="000000" w:sz="2" w:space="0"/>
              <w:right w:val="nil"/>
              <w:tl2br w:val="nil"/>
              <w:tr2bl w:val="nil"/>
            </w:tcBorders>
            <w:vAlign w:val="bottom"/>
          </w:tcPr>
          <w:p>
            <w:pPr>
              <w:spacing w:line="440" w:lineRule="exact"/>
              <w:ind w:firstLine="420" w:firstLineChars="200"/>
              <w:rPr>
                <w:rFonts w:hint="eastAsia" w:asciiTheme="minorEastAsia" w:hAnsiTheme="minorEastAsia" w:eastAsiaTheme="minorEastAsia"/>
                <w:sz w:val="21"/>
                <w:szCs w:val="21"/>
                <w:lang w:val="zh-CN"/>
              </w:rPr>
            </w:pPr>
            <w:r>
              <w:rPr>
                <w:rFonts w:asciiTheme="minorEastAsia" w:hAnsiTheme="minorEastAsia" w:eastAsiaTheme="minorEastAsia"/>
                <w:sz w:val="21"/>
                <w:szCs w:val="21"/>
                <w:lang w:val="zh-CN"/>
              </w:rPr>
              <w:t>OXA-23</w:t>
            </w:r>
          </w:p>
        </w:tc>
        <w:tc>
          <w:tcPr>
            <w:tcW w:w="2707" w:type="dxa"/>
            <w:gridSpan w:val="2"/>
            <w:tcBorders>
              <w:top w:val="single" w:color="000000" w:sz="2" w:space="0"/>
              <w:left w:val="nil"/>
              <w:bottom w:val="single" w:color="000000" w:sz="2" w:space="0"/>
              <w:right w:val="nil"/>
            </w:tcBorders>
            <w:vAlign w:val="bottom"/>
          </w:tcPr>
          <w:p>
            <w:pPr>
              <w:spacing w:line="440" w:lineRule="exact"/>
              <w:ind w:firstLine="567"/>
              <w:rPr>
                <w:rFonts w:hint="eastAsia" w:asciiTheme="minorEastAsia" w:hAnsiTheme="minorEastAsia" w:eastAsiaTheme="minorEastAsia"/>
                <w:sz w:val="21"/>
                <w:szCs w:val="21"/>
                <w:lang w:val="zh-CN"/>
              </w:rPr>
            </w:pPr>
            <w:r>
              <w:rPr>
                <w:rFonts w:asciiTheme="minorEastAsia" w:hAnsiTheme="minorEastAsia" w:eastAsiaTheme="minorEastAsia"/>
                <w:sz w:val="21"/>
                <w:szCs w:val="21"/>
                <w:lang w:val="zh-CN"/>
              </w:rPr>
              <w:t xml:space="preserve">CarbAcineto NP </w:t>
            </w:r>
          </w:p>
        </w:tc>
        <w:tc>
          <w:tcPr>
            <w:tcW w:w="1421" w:type="dxa"/>
            <w:vMerge w:val="restart"/>
            <w:tcBorders>
              <w:top w:val="single" w:color="000000" w:sz="2" w:space="0"/>
              <w:left w:val="nil"/>
              <w:right w:val="nil"/>
              <w:tl2br w:val="nil"/>
              <w:tr2bl w:val="nil"/>
            </w:tcBorders>
            <w:vAlign w:val="bottom"/>
          </w:tcPr>
          <w:p>
            <w:pPr>
              <w:spacing w:line="440" w:lineRule="exact"/>
              <w:ind w:firstLine="567"/>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　</w:t>
            </w:r>
          </w:p>
          <w:p>
            <w:pPr>
              <w:spacing w:line="440" w:lineRule="exact"/>
              <w:ind w:firstLine="567"/>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合计</w:t>
            </w:r>
          </w:p>
        </w:tc>
      </w:tr>
      <w:tr>
        <w:tblPrEx>
          <w:tblLayout w:type="fixed"/>
          <w:tblCellMar>
            <w:top w:w="0" w:type="dxa"/>
            <w:left w:w="108" w:type="dxa"/>
            <w:bottom w:w="0" w:type="dxa"/>
            <w:right w:w="108" w:type="dxa"/>
          </w:tblCellMar>
        </w:tblPrEx>
        <w:trPr>
          <w:trHeight w:val="270" w:hRule="atLeast"/>
          <w:jc w:val="center"/>
        </w:trPr>
        <w:tc>
          <w:tcPr>
            <w:tcW w:w="1927" w:type="dxa"/>
            <w:vMerge w:val="continue"/>
            <w:tcBorders>
              <w:top w:val="single" w:color="000000" w:sz="2" w:space="0"/>
              <w:left w:val="nil"/>
              <w:bottom w:val="single" w:color="auto" w:sz="4" w:space="0"/>
              <w:right w:val="nil"/>
              <w:tl2br w:val="nil"/>
              <w:tr2bl w:val="nil"/>
            </w:tcBorders>
            <w:shd w:val="clear" w:color="000000" w:fill="FFFFFF"/>
            <w:vAlign w:val="center"/>
          </w:tcPr>
          <w:p>
            <w:pPr>
              <w:spacing w:line="440" w:lineRule="exact"/>
              <w:ind w:firstLine="567"/>
              <w:rPr>
                <w:rFonts w:hint="eastAsia" w:asciiTheme="minorEastAsia" w:hAnsiTheme="minorEastAsia" w:eastAsiaTheme="minorEastAsia"/>
                <w:sz w:val="21"/>
                <w:szCs w:val="21"/>
                <w:lang w:val="zh-CN"/>
              </w:rPr>
            </w:pPr>
          </w:p>
        </w:tc>
        <w:tc>
          <w:tcPr>
            <w:tcW w:w="1555" w:type="dxa"/>
            <w:tcBorders>
              <w:top w:val="single" w:color="000000" w:sz="2" w:space="0"/>
              <w:left w:val="nil"/>
              <w:bottom w:val="single" w:color="auto" w:sz="4" w:space="0"/>
              <w:right w:val="nil"/>
              <w:tl2br w:val="nil"/>
              <w:tr2bl w:val="nil"/>
            </w:tcBorders>
            <w:vAlign w:val="bottom"/>
          </w:tcPr>
          <w:p>
            <w:pPr>
              <w:spacing w:line="440" w:lineRule="exact"/>
              <w:ind w:firstLine="420" w:firstLineChars="200"/>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阳性</w:t>
            </w:r>
          </w:p>
        </w:tc>
        <w:tc>
          <w:tcPr>
            <w:tcW w:w="1152" w:type="dxa"/>
            <w:tcBorders>
              <w:top w:val="single" w:color="000000" w:sz="2" w:space="0"/>
              <w:left w:val="nil"/>
              <w:bottom w:val="single" w:color="auto" w:sz="4" w:space="0"/>
              <w:right w:val="nil"/>
              <w:tl2br w:val="nil"/>
              <w:tr2bl w:val="nil"/>
            </w:tcBorders>
            <w:vAlign w:val="bottom"/>
          </w:tcPr>
          <w:p>
            <w:pPr>
              <w:spacing w:line="440" w:lineRule="exact"/>
              <w:ind w:firstLine="420" w:firstLineChars="200"/>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阴性</w:t>
            </w:r>
          </w:p>
        </w:tc>
        <w:tc>
          <w:tcPr>
            <w:tcW w:w="1421" w:type="dxa"/>
            <w:vMerge w:val="continue"/>
            <w:tcBorders>
              <w:left w:val="nil"/>
              <w:bottom w:val="single" w:color="auto" w:sz="4" w:space="0"/>
              <w:right w:val="nil"/>
              <w:tl2br w:val="nil"/>
              <w:tr2bl w:val="nil"/>
            </w:tcBorders>
            <w:vAlign w:val="bottom"/>
          </w:tcPr>
          <w:p>
            <w:pPr>
              <w:spacing w:line="440" w:lineRule="exact"/>
              <w:ind w:firstLine="567"/>
              <w:rPr>
                <w:rFonts w:hint="eastAsia" w:asciiTheme="minorEastAsia" w:hAnsiTheme="minorEastAsia" w:eastAsiaTheme="minorEastAsia"/>
                <w:sz w:val="21"/>
                <w:szCs w:val="21"/>
                <w:lang w:val="zh-CN"/>
              </w:rPr>
            </w:pPr>
          </w:p>
        </w:tc>
      </w:tr>
      <w:tr>
        <w:tblPrEx>
          <w:tblLayout w:type="fixed"/>
          <w:tblCellMar>
            <w:top w:w="0" w:type="dxa"/>
            <w:left w:w="108" w:type="dxa"/>
            <w:bottom w:w="0" w:type="dxa"/>
            <w:right w:w="108" w:type="dxa"/>
          </w:tblCellMar>
        </w:tblPrEx>
        <w:trPr>
          <w:trHeight w:val="270" w:hRule="atLeast"/>
          <w:jc w:val="center"/>
        </w:trPr>
        <w:tc>
          <w:tcPr>
            <w:tcW w:w="1927" w:type="dxa"/>
            <w:tcBorders>
              <w:top w:val="single" w:color="auto" w:sz="4" w:space="0"/>
              <w:left w:val="nil"/>
              <w:bottom w:val="nil"/>
              <w:right w:val="nil"/>
            </w:tcBorders>
            <w:vAlign w:val="bottom"/>
          </w:tcPr>
          <w:p>
            <w:pPr>
              <w:spacing w:line="440" w:lineRule="exact"/>
              <w:ind w:firstLine="567"/>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阳性</w:t>
            </w:r>
          </w:p>
        </w:tc>
        <w:tc>
          <w:tcPr>
            <w:tcW w:w="1555" w:type="dxa"/>
            <w:tcBorders>
              <w:top w:val="single" w:color="auto" w:sz="4" w:space="0"/>
              <w:left w:val="nil"/>
              <w:bottom w:val="nil"/>
              <w:right w:val="nil"/>
            </w:tcBorders>
            <w:vAlign w:val="bottom"/>
          </w:tcPr>
          <w:p>
            <w:pPr>
              <w:spacing w:line="440" w:lineRule="exact"/>
              <w:ind w:firstLine="567"/>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60</w:t>
            </w:r>
          </w:p>
        </w:tc>
        <w:tc>
          <w:tcPr>
            <w:tcW w:w="1152" w:type="dxa"/>
            <w:tcBorders>
              <w:top w:val="single" w:color="auto" w:sz="4" w:space="0"/>
              <w:left w:val="nil"/>
              <w:bottom w:val="nil"/>
              <w:right w:val="nil"/>
            </w:tcBorders>
            <w:vAlign w:val="bottom"/>
          </w:tcPr>
          <w:p>
            <w:pPr>
              <w:spacing w:line="440" w:lineRule="exact"/>
              <w:ind w:firstLine="567"/>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9</w:t>
            </w:r>
          </w:p>
        </w:tc>
        <w:tc>
          <w:tcPr>
            <w:tcW w:w="1421" w:type="dxa"/>
            <w:tcBorders>
              <w:top w:val="single" w:color="auto" w:sz="4" w:space="0"/>
              <w:left w:val="nil"/>
              <w:bottom w:val="nil"/>
              <w:right w:val="nil"/>
            </w:tcBorders>
            <w:vAlign w:val="bottom"/>
          </w:tcPr>
          <w:p>
            <w:pPr>
              <w:spacing w:line="440" w:lineRule="exact"/>
              <w:ind w:firstLine="630" w:firstLineChars="300"/>
              <w:rPr>
                <w:rFonts w:hint="eastAsia" w:asciiTheme="minorEastAsia" w:hAnsiTheme="minorEastAsia" w:eastAsiaTheme="minorEastAsia"/>
                <w:sz w:val="21"/>
                <w:szCs w:val="21"/>
                <w:lang w:val="zh-CN"/>
              </w:rPr>
            </w:pPr>
            <w:r>
              <w:rPr>
                <w:rFonts w:asciiTheme="minorEastAsia" w:hAnsiTheme="minorEastAsia" w:eastAsiaTheme="minorEastAsia"/>
                <w:sz w:val="21"/>
                <w:szCs w:val="21"/>
                <w:lang w:val="zh-CN"/>
              </w:rPr>
              <w:t>69</w:t>
            </w:r>
          </w:p>
        </w:tc>
      </w:tr>
      <w:tr>
        <w:tblPrEx>
          <w:tblLayout w:type="fixed"/>
          <w:tblCellMar>
            <w:top w:w="0" w:type="dxa"/>
            <w:left w:w="108" w:type="dxa"/>
            <w:bottom w:w="0" w:type="dxa"/>
            <w:right w:w="108" w:type="dxa"/>
          </w:tblCellMar>
        </w:tblPrEx>
        <w:trPr>
          <w:trHeight w:val="270" w:hRule="atLeast"/>
          <w:jc w:val="center"/>
        </w:trPr>
        <w:tc>
          <w:tcPr>
            <w:tcW w:w="1927" w:type="dxa"/>
            <w:tcBorders>
              <w:top w:val="nil"/>
              <w:left w:val="nil"/>
              <w:bottom w:val="single" w:color="000000" w:sz="2" w:space="0"/>
              <w:right w:val="nil"/>
              <w:tl2br w:val="nil"/>
              <w:tr2bl w:val="nil"/>
            </w:tcBorders>
            <w:vAlign w:val="bottom"/>
          </w:tcPr>
          <w:p>
            <w:pPr>
              <w:spacing w:line="440" w:lineRule="exact"/>
              <w:ind w:firstLine="567"/>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阴性</w:t>
            </w:r>
          </w:p>
        </w:tc>
        <w:tc>
          <w:tcPr>
            <w:tcW w:w="1555" w:type="dxa"/>
            <w:tcBorders>
              <w:top w:val="nil"/>
              <w:left w:val="nil"/>
              <w:bottom w:val="single" w:color="000000" w:sz="2" w:space="0"/>
              <w:right w:val="nil"/>
              <w:tl2br w:val="nil"/>
              <w:tr2bl w:val="nil"/>
            </w:tcBorders>
            <w:vAlign w:val="bottom"/>
          </w:tcPr>
          <w:p>
            <w:pPr>
              <w:spacing w:line="440" w:lineRule="exact"/>
              <w:ind w:firstLine="567"/>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2</w:t>
            </w:r>
          </w:p>
        </w:tc>
        <w:tc>
          <w:tcPr>
            <w:tcW w:w="1152" w:type="dxa"/>
            <w:tcBorders>
              <w:top w:val="nil"/>
              <w:left w:val="nil"/>
              <w:bottom w:val="single" w:color="000000" w:sz="2" w:space="0"/>
              <w:right w:val="nil"/>
              <w:tl2br w:val="nil"/>
              <w:tr2bl w:val="nil"/>
            </w:tcBorders>
            <w:vAlign w:val="bottom"/>
          </w:tcPr>
          <w:p>
            <w:pPr>
              <w:spacing w:line="440" w:lineRule="exact"/>
              <w:ind w:firstLine="525" w:firstLineChars="250"/>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50</w:t>
            </w:r>
          </w:p>
        </w:tc>
        <w:tc>
          <w:tcPr>
            <w:tcW w:w="1421" w:type="dxa"/>
            <w:tcBorders>
              <w:top w:val="nil"/>
              <w:left w:val="nil"/>
              <w:bottom w:val="single" w:color="000000" w:sz="2" w:space="0"/>
              <w:right w:val="nil"/>
              <w:tl2br w:val="nil"/>
              <w:tr2bl w:val="nil"/>
            </w:tcBorders>
            <w:vAlign w:val="bottom"/>
          </w:tcPr>
          <w:p>
            <w:pPr>
              <w:spacing w:line="440" w:lineRule="exact"/>
              <w:ind w:firstLine="630" w:firstLineChars="300"/>
              <w:rPr>
                <w:rFonts w:hint="eastAsia" w:asciiTheme="minorEastAsia" w:hAnsiTheme="minorEastAsia" w:eastAsiaTheme="minorEastAsia"/>
                <w:sz w:val="21"/>
                <w:szCs w:val="21"/>
                <w:lang w:val="zh-CN"/>
              </w:rPr>
            </w:pPr>
            <w:r>
              <w:rPr>
                <w:rFonts w:asciiTheme="minorEastAsia" w:hAnsiTheme="minorEastAsia" w:eastAsiaTheme="minorEastAsia"/>
                <w:sz w:val="21"/>
                <w:szCs w:val="21"/>
                <w:lang w:val="zh-CN"/>
              </w:rPr>
              <w:t>52</w:t>
            </w:r>
          </w:p>
        </w:tc>
      </w:tr>
      <w:tr>
        <w:tblPrEx>
          <w:tblLayout w:type="fixed"/>
          <w:tblCellMar>
            <w:top w:w="0" w:type="dxa"/>
            <w:left w:w="108" w:type="dxa"/>
            <w:bottom w:w="0" w:type="dxa"/>
            <w:right w:w="108" w:type="dxa"/>
          </w:tblCellMar>
        </w:tblPrEx>
        <w:trPr>
          <w:trHeight w:val="270" w:hRule="atLeast"/>
          <w:jc w:val="center"/>
        </w:trPr>
        <w:tc>
          <w:tcPr>
            <w:tcW w:w="1927" w:type="dxa"/>
            <w:tcBorders>
              <w:top w:val="nil"/>
              <w:left w:val="nil"/>
              <w:bottom w:val="single" w:color="000000" w:sz="2" w:space="0"/>
              <w:right w:val="nil"/>
              <w:tl2br w:val="nil"/>
              <w:tr2bl w:val="nil"/>
            </w:tcBorders>
            <w:vAlign w:val="bottom"/>
          </w:tcPr>
          <w:p>
            <w:pPr>
              <w:spacing w:line="440" w:lineRule="exact"/>
              <w:ind w:firstLine="567"/>
              <w:rPr>
                <w:rFonts w:hint="eastAsia" w:asciiTheme="minorEastAsia" w:hAnsiTheme="minorEastAsia" w:eastAsiaTheme="minorEastAsia"/>
                <w:sz w:val="21"/>
                <w:szCs w:val="21"/>
                <w:lang w:val="zh-CN"/>
              </w:rPr>
            </w:pPr>
            <w:r>
              <w:rPr>
                <w:rFonts w:hint="eastAsia" w:asciiTheme="minorEastAsia" w:hAnsiTheme="minorEastAsia" w:eastAsiaTheme="minorEastAsia"/>
                <w:sz w:val="21"/>
                <w:szCs w:val="21"/>
                <w:lang w:val="zh-CN"/>
              </w:rPr>
              <w:t>合计</w:t>
            </w:r>
          </w:p>
        </w:tc>
        <w:tc>
          <w:tcPr>
            <w:tcW w:w="1555" w:type="dxa"/>
            <w:tcBorders>
              <w:top w:val="nil"/>
              <w:left w:val="nil"/>
              <w:bottom w:val="single" w:color="000000" w:sz="2" w:space="0"/>
              <w:right w:val="nil"/>
              <w:tl2br w:val="nil"/>
              <w:tr2bl w:val="nil"/>
            </w:tcBorders>
            <w:vAlign w:val="bottom"/>
          </w:tcPr>
          <w:p>
            <w:pPr>
              <w:spacing w:line="440" w:lineRule="exact"/>
              <w:ind w:firstLine="567"/>
              <w:rPr>
                <w:rFonts w:hint="eastAsia" w:asciiTheme="minorEastAsia" w:hAnsiTheme="minorEastAsia" w:eastAsiaTheme="minorEastAsia"/>
                <w:sz w:val="21"/>
                <w:szCs w:val="21"/>
                <w:lang w:val="zh-CN"/>
              </w:rPr>
            </w:pPr>
            <w:r>
              <w:rPr>
                <w:rFonts w:asciiTheme="minorEastAsia" w:hAnsiTheme="minorEastAsia" w:eastAsiaTheme="minorEastAsia"/>
                <w:sz w:val="21"/>
                <w:szCs w:val="21"/>
                <w:lang w:val="zh-CN"/>
              </w:rPr>
              <w:t>6</w:t>
            </w:r>
            <w:r>
              <w:rPr>
                <w:rFonts w:hint="eastAsia" w:asciiTheme="minorEastAsia" w:hAnsiTheme="minorEastAsia" w:eastAsiaTheme="minorEastAsia"/>
                <w:sz w:val="21"/>
                <w:szCs w:val="21"/>
                <w:lang w:val="zh-CN"/>
              </w:rPr>
              <w:t>2</w:t>
            </w:r>
          </w:p>
        </w:tc>
        <w:tc>
          <w:tcPr>
            <w:tcW w:w="1152" w:type="dxa"/>
            <w:tcBorders>
              <w:top w:val="nil"/>
              <w:left w:val="nil"/>
              <w:bottom w:val="single" w:color="000000" w:sz="2" w:space="0"/>
              <w:right w:val="nil"/>
              <w:tl2br w:val="nil"/>
              <w:tr2bl w:val="nil"/>
            </w:tcBorders>
            <w:vAlign w:val="bottom"/>
          </w:tcPr>
          <w:p>
            <w:pPr>
              <w:spacing w:line="440" w:lineRule="exact"/>
              <w:ind w:firstLine="525" w:firstLineChars="250"/>
              <w:rPr>
                <w:rFonts w:hint="eastAsia" w:asciiTheme="minorEastAsia" w:hAnsiTheme="minorEastAsia" w:eastAsiaTheme="minorEastAsia"/>
                <w:sz w:val="21"/>
                <w:szCs w:val="21"/>
                <w:lang w:val="zh-CN"/>
              </w:rPr>
            </w:pPr>
            <w:r>
              <w:rPr>
                <w:rFonts w:asciiTheme="minorEastAsia" w:hAnsiTheme="minorEastAsia" w:eastAsiaTheme="minorEastAsia"/>
                <w:sz w:val="21"/>
                <w:szCs w:val="21"/>
                <w:lang w:val="zh-CN"/>
              </w:rPr>
              <w:t>5</w:t>
            </w:r>
            <w:r>
              <w:rPr>
                <w:rFonts w:hint="eastAsia" w:asciiTheme="minorEastAsia" w:hAnsiTheme="minorEastAsia" w:eastAsiaTheme="minorEastAsia"/>
                <w:sz w:val="21"/>
                <w:szCs w:val="21"/>
                <w:lang w:val="zh-CN"/>
              </w:rPr>
              <w:t>9</w:t>
            </w:r>
          </w:p>
        </w:tc>
        <w:tc>
          <w:tcPr>
            <w:tcW w:w="1421" w:type="dxa"/>
            <w:tcBorders>
              <w:top w:val="nil"/>
              <w:left w:val="nil"/>
              <w:bottom w:val="single" w:color="000000" w:sz="2" w:space="0"/>
              <w:right w:val="nil"/>
              <w:tl2br w:val="nil"/>
              <w:tr2bl w:val="nil"/>
            </w:tcBorders>
            <w:vAlign w:val="bottom"/>
          </w:tcPr>
          <w:p>
            <w:pPr>
              <w:spacing w:line="440" w:lineRule="exact"/>
              <w:ind w:firstLine="567"/>
              <w:rPr>
                <w:rFonts w:hint="eastAsia" w:asciiTheme="minorEastAsia" w:hAnsiTheme="minorEastAsia" w:eastAsiaTheme="minorEastAsia"/>
                <w:sz w:val="21"/>
                <w:szCs w:val="21"/>
                <w:lang w:val="zh-CN"/>
              </w:rPr>
            </w:pPr>
            <w:r>
              <w:rPr>
                <w:rFonts w:asciiTheme="minorEastAsia" w:hAnsiTheme="minorEastAsia" w:eastAsiaTheme="minorEastAsia"/>
                <w:sz w:val="21"/>
                <w:szCs w:val="21"/>
                <w:lang w:val="zh-CN"/>
              </w:rPr>
              <w:t>121</w:t>
            </w:r>
          </w:p>
        </w:tc>
      </w:tr>
    </w:tbl>
    <w:p>
      <w:pPr>
        <w:rPr>
          <w:rFonts w:hint="eastAsia" w:ascii="黑体" w:hAnsi="黑体" w:eastAsia="黑体"/>
          <w:b/>
          <w:szCs w:val="21"/>
          <w:lang w:val="zh-CN"/>
        </w:rPr>
      </w:pPr>
      <w:r>
        <w:rPr>
          <w:rFonts w:hint="eastAsia" w:ascii="黑体" w:hAnsi="黑体" w:eastAsia="黑体"/>
          <w:b/>
          <w:szCs w:val="21"/>
        </w:rPr>
        <w:t>3.</w:t>
      </w:r>
      <w:r>
        <w:rPr>
          <w:rFonts w:hint="eastAsia" w:ascii="黑体" w:hAnsi="黑体" w:eastAsia="黑体"/>
          <w:b/>
          <w:szCs w:val="21"/>
          <w:lang w:val="zh-CN"/>
        </w:rPr>
        <w:t>讨</w:t>
      </w:r>
      <w:r>
        <w:rPr>
          <w:rFonts w:hint="eastAsia" w:ascii="黑体" w:hAnsi="黑体" w:eastAsia="黑体"/>
          <w:b/>
          <w:szCs w:val="21"/>
        </w:rPr>
        <w:t xml:space="preserve">   </w:t>
      </w:r>
      <w:r>
        <w:rPr>
          <w:rFonts w:hint="eastAsia" w:ascii="黑体" w:hAnsi="黑体" w:eastAsia="黑体"/>
          <w:b/>
          <w:szCs w:val="21"/>
          <w:lang w:val="zh-CN"/>
        </w:rPr>
        <w:t>论</w:t>
      </w:r>
    </w:p>
    <w:p>
      <w:pPr>
        <w:autoSpaceDE w:val="0"/>
        <w:autoSpaceDN w:val="0"/>
        <w:spacing w:after="0"/>
        <w:ind w:firstLine="420" w:firstLineChars="200"/>
        <w:rPr>
          <w:rFonts w:ascii="宋体" w:hAnsi="宋体" w:eastAsia="宋体"/>
          <w:sz w:val="21"/>
          <w:szCs w:val="21"/>
          <w:lang w:val="pt-BR"/>
        </w:rPr>
      </w:pPr>
      <w:r>
        <w:rPr>
          <w:rFonts w:ascii="宋体" w:hAnsi="宋体" w:eastAsia="宋体"/>
          <w:sz w:val="21"/>
          <w:szCs w:val="21"/>
          <w:lang w:val="pt-BR"/>
        </w:rPr>
        <w:t>由鲍曼不动杆菌导致的医疗相关感染（HAI），经常发生在病情</w:t>
      </w:r>
      <w:r>
        <w:rPr>
          <w:rFonts w:hint="eastAsia" w:ascii="宋体" w:hAnsi="宋体" w:eastAsia="宋体"/>
          <w:sz w:val="21"/>
          <w:szCs w:val="21"/>
          <w:lang w:val="pt-BR"/>
        </w:rPr>
        <w:t>危重</w:t>
      </w:r>
      <w:r>
        <w:rPr>
          <w:rFonts w:ascii="宋体" w:hAnsi="宋体" w:eastAsia="宋体"/>
          <w:sz w:val="21"/>
          <w:szCs w:val="21"/>
          <w:lang w:val="pt-BR"/>
        </w:rPr>
        <w:t>的病人身上，常见于有基础疾病或经历了重大的外科手术，长期住院的病人，鲍曼不动杆菌很容易通过血管内导管，开放性伤口和机械通风机进入人体。鲍曼不动杆菌还可引起获得性感染，主要包括肺炎和菌血症。还可引起皮肤，眼部，软组织感染，继发性脑膜炎和心内膜炎，泌尿系统感染。</w:t>
      </w:r>
    </w:p>
    <w:p>
      <w:pPr>
        <w:spacing w:after="0"/>
        <w:ind w:firstLine="420" w:firstLineChars="200"/>
        <w:rPr>
          <w:rFonts w:ascii="宋体" w:hAnsi="宋体" w:eastAsia="宋体"/>
          <w:sz w:val="21"/>
          <w:szCs w:val="21"/>
          <w:lang w:val="pt-BR"/>
        </w:rPr>
      </w:pPr>
      <w:r>
        <w:rPr>
          <w:rFonts w:ascii="宋体" w:hAnsi="宋体" w:eastAsia="宋体"/>
          <w:sz w:val="21"/>
          <w:szCs w:val="21"/>
          <w:lang w:val="pt-BR"/>
        </w:rPr>
        <w:t>本次研究中，两个医院的鲍曼不动杆菌的感染主要是在重症医学科，呼吸科和神经外科</w:t>
      </w:r>
      <w:r>
        <w:rPr>
          <w:rFonts w:hint="eastAsia" w:ascii="宋体" w:hAnsi="宋体" w:eastAsia="宋体"/>
          <w:sz w:val="21"/>
          <w:szCs w:val="21"/>
          <w:lang w:val="pt-BR"/>
        </w:rPr>
        <w:t>，</w:t>
      </w:r>
      <w:r>
        <w:rPr>
          <w:rFonts w:ascii="宋体" w:hAnsi="宋体" w:eastAsia="宋体"/>
          <w:sz w:val="21"/>
          <w:szCs w:val="21"/>
          <w:lang w:val="pt-BR"/>
        </w:rPr>
        <w:t>这是由于这三个科室的病人病情危重，抵抗力弱，住院时间较长，长期带呼吸机，容易造成鲍曼不动杆菌的感染</w:t>
      </w:r>
      <w:r>
        <w:rPr>
          <w:rFonts w:hint="eastAsia" w:ascii="宋体" w:hAnsi="宋体" w:eastAsia="宋体"/>
          <w:sz w:val="21"/>
          <w:szCs w:val="21"/>
          <w:lang w:val="pt-BR"/>
        </w:rPr>
        <w:t>，</w:t>
      </w:r>
      <w:r>
        <w:rPr>
          <w:rFonts w:ascii="宋体" w:hAnsi="宋体" w:eastAsia="宋体"/>
          <w:sz w:val="21"/>
          <w:szCs w:val="21"/>
          <w:lang w:val="pt-BR"/>
        </w:rPr>
        <w:t>70株耐亚胺培南的菌株同时也对头孢菌素类,氨基糖苷类，喹诺酮类药物耐药，是由于这些菌株也存在其他耐药机制如产超广谱β内酰胺酶，头孢菌素酶（AmpC酶），氨基糖苷类修饰酶，armA等16SrRNA甲基化酶，拓扑异构酶gyrA、parC基因突变等原因造成的多重耐药。多重耐药的鲍曼不动杆菌在重症医学科，神经外科，呼吸科所占比例很高，而在新生儿科，心内科所检测到的鲍曼不动杆菌对所有药物敏感，说明多重耐药的鲍曼不动杆菌的出现和流行与病房内病人之间的交叉感染有很大的关联。</w:t>
      </w:r>
    </w:p>
    <w:p>
      <w:pPr>
        <w:spacing w:after="0"/>
        <w:ind w:firstLine="420" w:firstLineChars="200"/>
        <w:rPr>
          <w:rFonts w:ascii="宋体" w:hAnsi="宋体" w:eastAsia="宋体"/>
          <w:sz w:val="21"/>
          <w:szCs w:val="21"/>
          <w:lang w:val="pt-BR"/>
        </w:rPr>
      </w:pPr>
      <w:r>
        <w:rPr>
          <w:rFonts w:hint="eastAsia" w:ascii="宋体" w:hAnsi="宋体" w:eastAsia="宋体"/>
          <w:sz w:val="21"/>
          <w:szCs w:val="21"/>
          <w:lang w:val="pt-BR"/>
        </w:rPr>
        <w:t>细菌对碳青霉烯类抗生素产生耐药的主要耐药机制有：1.青霉素结合蛋白</w:t>
      </w:r>
      <w:r>
        <w:rPr>
          <w:rFonts w:ascii="宋体" w:hAnsi="宋体" w:eastAsia="宋体"/>
          <w:sz w:val="21"/>
          <w:szCs w:val="21"/>
          <w:lang w:val="pt-BR"/>
        </w:rPr>
        <w:t>(PBPs)</w:t>
      </w:r>
      <w:r>
        <w:rPr>
          <w:rFonts w:hint="eastAsia" w:ascii="宋体" w:hAnsi="宋体" w:eastAsia="宋体"/>
          <w:sz w:val="21"/>
          <w:szCs w:val="21"/>
          <w:lang w:val="pt-BR"/>
        </w:rPr>
        <w:t>靶位的改变，</w:t>
      </w:r>
      <w:r>
        <w:rPr>
          <w:rFonts w:ascii="宋体" w:hAnsi="宋体" w:eastAsia="宋体"/>
          <w:sz w:val="21"/>
          <w:szCs w:val="21"/>
          <w:lang w:val="pt-BR"/>
        </w:rPr>
        <w:t>PBPs</w:t>
      </w:r>
      <w:r>
        <w:rPr>
          <w:rFonts w:hint="eastAsia" w:ascii="宋体" w:hAnsi="宋体" w:eastAsia="宋体"/>
          <w:sz w:val="21"/>
          <w:szCs w:val="21"/>
          <w:lang w:val="pt-BR"/>
        </w:rPr>
        <w:t>靶位改变主要见于革兰阳性球菌，在革兰阴性杆菌中较少见。2.外膜蛋白改变导致外膜通透性的减少。3.外排泵的高度表达。</w:t>
      </w:r>
      <w:r>
        <w:rPr>
          <w:rFonts w:ascii="宋体" w:hAnsi="宋体" w:eastAsia="宋体"/>
          <w:sz w:val="21"/>
          <w:szCs w:val="21"/>
          <w:lang w:val="pt-BR"/>
        </w:rPr>
        <w:t>4.</w:t>
      </w:r>
      <w:r>
        <w:rPr>
          <w:rFonts w:hint="eastAsia" w:ascii="宋体" w:hAnsi="宋体" w:eastAsia="宋体"/>
          <w:sz w:val="21"/>
          <w:szCs w:val="21"/>
          <w:lang w:val="pt-BR"/>
        </w:rPr>
        <w:t xml:space="preserve"> 通过质粒介导的碳青霉烯酶基因传播。有染色体介导的高水平的耐药基因表达，如OXA和Ampc基因，从而导致管家基因的改变;β内酰胺酶启动子序列改变; 在启动子上插入序列等</w:t>
      </w:r>
      <w:r>
        <w:rPr>
          <w:rFonts w:hint="eastAsia" w:ascii="宋体" w:hAnsi="宋体" w:eastAsia="宋体"/>
          <w:sz w:val="21"/>
          <w:szCs w:val="21"/>
          <w:vertAlign w:val="superscript"/>
          <w:lang w:val="pt-BR"/>
        </w:rPr>
        <w:t>【1,2】</w:t>
      </w:r>
      <w:r>
        <w:rPr>
          <w:rFonts w:hint="eastAsia" w:ascii="宋体" w:hAnsi="宋体" w:eastAsia="宋体"/>
          <w:sz w:val="21"/>
          <w:szCs w:val="21"/>
          <w:lang w:val="pt-BR"/>
        </w:rPr>
        <w:t>。有时会几种机制同时存在，由于获得碳青霉烯酶编码的基因是最重要耐药机制。所以检测碳青霉烯酶尤为重要。</w:t>
      </w:r>
    </w:p>
    <w:p>
      <w:pPr>
        <w:widowControl w:val="0"/>
        <w:tabs>
          <w:tab w:val="left" w:leader="middleDot" w:pos="8400"/>
        </w:tabs>
        <w:adjustRightInd/>
        <w:snapToGrid/>
        <w:spacing w:after="0"/>
        <w:ind w:firstLine="420" w:firstLineChars="200"/>
        <w:rPr>
          <w:sz w:val="28"/>
          <w:szCs w:val="28"/>
        </w:rPr>
      </w:pPr>
      <w:r>
        <w:rPr>
          <w:rFonts w:hint="eastAsia" w:ascii="宋体" w:hAnsi="宋体" w:eastAsia="宋体"/>
          <w:sz w:val="21"/>
          <w:szCs w:val="21"/>
          <w:lang w:val="pt-BR"/>
        </w:rPr>
        <w:t>碳青霉烯酶是由于</w:t>
      </w:r>
      <w:r>
        <w:rPr>
          <w:rFonts w:ascii="宋体" w:hAnsi="宋体" w:eastAsia="宋体"/>
          <w:sz w:val="21"/>
          <w:szCs w:val="21"/>
          <w:lang w:val="pt-BR"/>
        </w:rPr>
        <w:t>ESBLs</w:t>
      </w:r>
      <w:r>
        <w:rPr>
          <w:rFonts w:hint="eastAsia" w:ascii="宋体" w:hAnsi="宋体" w:eastAsia="宋体"/>
          <w:sz w:val="21"/>
          <w:szCs w:val="21"/>
          <w:lang w:val="pt-BR"/>
        </w:rPr>
        <w:t>的传播，从而过度使用碳青霉烯类药物，使碳青霉烯酶产生。它是一类能够水解亚胺培南或者是美罗培南等碳青霉烯类的一类β内酰胺酶。包括</w:t>
      </w:r>
      <w:r>
        <w:rPr>
          <w:rFonts w:ascii="宋体" w:hAnsi="宋体" w:eastAsia="宋体"/>
          <w:sz w:val="21"/>
          <w:szCs w:val="21"/>
          <w:lang w:val="pt-BR"/>
        </w:rPr>
        <w:t>Ambler</w:t>
      </w:r>
      <w:r>
        <w:rPr>
          <w:rFonts w:hint="eastAsia" w:ascii="宋体" w:hAnsi="宋体" w:eastAsia="宋体"/>
          <w:sz w:val="21"/>
          <w:szCs w:val="21"/>
          <w:lang w:val="pt-BR"/>
        </w:rPr>
        <w:t>分类中的</w:t>
      </w:r>
      <w:r>
        <w:rPr>
          <w:rFonts w:ascii="宋体" w:hAnsi="宋体" w:eastAsia="宋体"/>
          <w:sz w:val="21"/>
          <w:szCs w:val="21"/>
          <w:lang w:val="pt-BR"/>
        </w:rPr>
        <w:t>A</w:t>
      </w:r>
      <w:r>
        <w:rPr>
          <w:rFonts w:hint="eastAsia" w:ascii="宋体" w:hAnsi="宋体" w:eastAsia="宋体"/>
          <w:sz w:val="21"/>
          <w:szCs w:val="21"/>
          <w:lang w:val="pt-BR"/>
        </w:rPr>
        <w:t>、</w:t>
      </w:r>
      <w:r>
        <w:rPr>
          <w:rFonts w:ascii="宋体" w:hAnsi="宋体" w:eastAsia="宋体"/>
          <w:sz w:val="21"/>
          <w:szCs w:val="21"/>
          <w:lang w:val="pt-BR"/>
        </w:rPr>
        <w:t>B</w:t>
      </w:r>
      <w:r>
        <w:rPr>
          <w:rFonts w:hint="eastAsia" w:ascii="宋体" w:hAnsi="宋体" w:eastAsia="宋体"/>
          <w:sz w:val="21"/>
          <w:szCs w:val="21"/>
          <w:lang w:val="pt-BR"/>
        </w:rPr>
        <w:t>、</w:t>
      </w:r>
      <w:r>
        <w:rPr>
          <w:rFonts w:ascii="宋体" w:hAnsi="宋体" w:eastAsia="宋体"/>
          <w:sz w:val="21"/>
          <w:szCs w:val="21"/>
          <w:lang w:val="pt-BR"/>
        </w:rPr>
        <w:t>D</w:t>
      </w:r>
      <w:r>
        <w:rPr>
          <w:rFonts w:hint="eastAsia" w:ascii="宋体" w:hAnsi="宋体" w:eastAsia="宋体"/>
          <w:sz w:val="21"/>
          <w:szCs w:val="21"/>
          <w:lang w:val="pt-BR"/>
        </w:rPr>
        <w:t>三类酶。</w:t>
      </w:r>
      <w:r>
        <w:rPr>
          <w:rFonts w:ascii="宋体" w:hAnsi="宋体" w:eastAsia="宋体"/>
          <w:sz w:val="21"/>
          <w:szCs w:val="21"/>
          <w:lang w:val="pt-BR"/>
        </w:rPr>
        <w:t xml:space="preserve"> </w:t>
      </w:r>
      <w:r>
        <w:rPr>
          <w:rFonts w:hint="eastAsia" w:ascii="宋体" w:hAnsi="宋体" w:eastAsia="宋体"/>
          <w:sz w:val="21"/>
          <w:szCs w:val="21"/>
          <w:lang w:val="pt-BR"/>
        </w:rPr>
        <w:t>有重要临床意义的是质粒介导的碳青霉烯酶基因型，主要包括亚胺培南铜绿假单胞菌酶（</w:t>
      </w:r>
      <w:r>
        <w:rPr>
          <w:rFonts w:ascii="宋体" w:hAnsi="宋体" w:eastAsia="宋体"/>
          <w:sz w:val="21"/>
          <w:szCs w:val="21"/>
          <w:lang w:val="pt-BR"/>
        </w:rPr>
        <w:t>Imipenemase,  IMP</w:t>
      </w:r>
      <w:r>
        <w:rPr>
          <w:rFonts w:hint="eastAsia" w:ascii="宋体" w:hAnsi="宋体" w:eastAsia="宋体"/>
          <w:sz w:val="21"/>
          <w:szCs w:val="21"/>
          <w:lang w:val="pt-BR"/>
        </w:rPr>
        <w:t>）、维罗纳亚胺培南酶（</w:t>
      </w:r>
      <w:r>
        <w:rPr>
          <w:rFonts w:ascii="宋体" w:hAnsi="宋体" w:eastAsia="宋体"/>
          <w:sz w:val="21"/>
          <w:szCs w:val="21"/>
          <w:lang w:val="pt-BR"/>
        </w:rPr>
        <w:t>Verona Imipenemase, VIM</w:t>
      </w:r>
      <w:r>
        <w:rPr>
          <w:rFonts w:hint="eastAsia" w:ascii="宋体" w:hAnsi="宋体" w:eastAsia="宋体"/>
          <w:sz w:val="21"/>
          <w:szCs w:val="21"/>
          <w:lang w:val="pt-BR"/>
        </w:rPr>
        <w:t>）、苯唑西林酶（</w:t>
      </w:r>
      <w:r>
        <w:rPr>
          <w:rFonts w:ascii="宋体" w:hAnsi="宋体" w:eastAsia="宋体"/>
          <w:sz w:val="21"/>
          <w:szCs w:val="21"/>
          <w:lang w:val="pt-BR"/>
        </w:rPr>
        <w:t>Oxacillinases, OXA</w:t>
      </w:r>
      <w:r>
        <w:rPr>
          <w:rFonts w:hint="eastAsia" w:ascii="宋体" w:hAnsi="宋体" w:eastAsia="宋体"/>
          <w:sz w:val="21"/>
          <w:szCs w:val="21"/>
          <w:lang w:val="pt-BR"/>
        </w:rPr>
        <w:t>）、产碳青霉烯酶的肺炎克雷伯菌（</w:t>
      </w:r>
      <w:r>
        <w:rPr>
          <w:rFonts w:ascii="宋体" w:hAnsi="宋体" w:eastAsia="宋体"/>
          <w:sz w:val="21"/>
          <w:szCs w:val="21"/>
          <w:lang w:val="pt-BR"/>
        </w:rPr>
        <w:t>Klebsiella pneumonia Carbapenemase, KPC</w:t>
      </w:r>
      <w:r>
        <w:rPr>
          <w:rFonts w:hint="eastAsia" w:ascii="宋体" w:hAnsi="宋体" w:eastAsia="宋体"/>
          <w:sz w:val="21"/>
          <w:szCs w:val="21"/>
          <w:lang w:val="pt-BR"/>
        </w:rPr>
        <w:t>）和新德里一号金属酶（</w:t>
      </w:r>
      <w:r>
        <w:rPr>
          <w:rFonts w:ascii="宋体" w:hAnsi="宋体" w:eastAsia="宋体"/>
          <w:sz w:val="21"/>
          <w:szCs w:val="21"/>
          <w:lang w:val="pt-BR"/>
        </w:rPr>
        <w:t>New Delhi metalloid β-lactamase 1,NDM-1</w:t>
      </w:r>
      <w:r>
        <w:rPr>
          <w:rFonts w:hint="eastAsia" w:ascii="宋体" w:hAnsi="宋体" w:eastAsia="宋体"/>
          <w:sz w:val="21"/>
          <w:szCs w:val="21"/>
          <w:lang w:val="pt-BR"/>
        </w:rPr>
        <w:t>）</w:t>
      </w:r>
      <w:r>
        <w:rPr>
          <w:rFonts w:ascii="宋体" w:hAnsi="宋体" w:eastAsia="宋体"/>
          <w:sz w:val="21"/>
          <w:szCs w:val="21"/>
          <w:lang w:val="pt-BR"/>
        </w:rPr>
        <w:t>, D类碳青霉烯酶的水解作用是鲍曼不动杆菌耐碳青霉烯类的最主要原因,这类酶的基因位于质粒和染色体上，OXA-23</w:t>
      </w:r>
      <w:r>
        <w:rPr>
          <w:rFonts w:hint="eastAsia" w:ascii="宋体" w:hAnsi="宋体" w:eastAsia="宋体"/>
          <w:sz w:val="21"/>
          <w:szCs w:val="21"/>
          <w:lang w:val="pt-BR"/>
        </w:rPr>
        <w:t>，</w:t>
      </w:r>
      <w:r>
        <w:rPr>
          <w:rFonts w:ascii="宋体" w:hAnsi="宋体" w:eastAsia="宋体"/>
          <w:sz w:val="21"/>
          <w:szCs w:val="21"/>
          <w:lang w:val="pt-BR"/>
        </w:rPr>
        <w:t>OXA-24和OXA-58在鲍曼不动杆菌中发现的比较多</w:t>
      </w:r>
      <w:r>
        <w:rPr>
          <w:rFonts w:hint="eastAsia" w:ascii="宋体" w:hAnsi="宋体" w:eastAsia="宋体"/>
          <w:sz w:val="21"/>
          <w:szCs w:val="21"/>
          <w:vertAlign w:val="superscript"/>
          <w:lang w:val="pt-BR"/>
        </w:rPr>
        <w:t>【3】</w:t>
      </w:r>
      <w:r>
        <w:rPr>
          <w:rFonts w:hint="eastAsia" w:ascii="宋体" w:hAnsi="宋体" w:eastAsia="宋体"/>
          <w:sz w:val="21"/>
          <w:szCs w:val="21"/>
          <w:lang w:val="pt-BR"/>
        </w:rPr>
        <w:t>。</w:t>
      </w:r>
    </w:p>
    <w:p>
      <w:pPr>
        <w:widowControl w:val="0"/>
        <w:autoSpaceDE w:val="0"/>
        <w:autoSpaceDN w:val="0"/>
        <w:snapToGrid/>
        <w:spacing w:after="0"/>
        <w:ind w:firstLine="420" w:firstLineChars="200"/>
        <w:rPr>
          <w:rFonts w:hint="eastAsia" w:ascii="宋体" w:hAnsi="宋体" w:eastAsia="宋体"/>
          <w:sz w:val="21"/>
          <w:szCs w:val="21"/>
          <w:lang w:val="pt-BR"/>
        </w:rPr>
      </w:pPr>
      <w:r>
        <w:rPr>
          <w:rFonts w:ascii="宋体" w:hAnsi="宋体" w:eastAsia="宋体"/>
          <w:sz w:val="21"/>
          <w:szCs w:val="21"/>
          <w:lang w:val="pt-BR"/>
        </w:rPr>
        <w:t>本实验中，121株鲍曼不动杆菌</w:t>
      </w:r>
      <w:r>
        <w:rPr>
          <w:rFonts w:hint="eastAsia" w:ascii="宋体" w:hAnsi="宋体" w:eastAsia="宋体"/>
          <w:sz w:val="21"/>
          <w:szCs w:val="21"/>
          <w:lang w:val="pt-BR"/>
        </w:rPr>
        <w:t>中</w:t>
      </w:r>
      <w:r>
        <w:rPr>
          <w:rFonts w:ascii="宋体" w:hAnsi="宋体" w:eastAsia="宋体"/>
          <w:sz w:val="21"/>
          <w:szCs w:val="21"/>
          <w:lang w:val="pt-BR"/>
        </w:rPr>
        <w:t>，70株菌对亚胺培南耐药，耐药率为57.9%，70株对亚胺培南耐药的鲍曼不动杆菌中有67株携带OXA-23基因，OXA-23基因携带率为95.7%，说明在河北医科大学第二医院和邢台市第三医院的耐碳青霉烯类鲍曼不动杆菌的主要碳青霉烯酶的基因型为0XA-23。此结果不仅与国内大多数文献报道相一致</w:t>
      </w:r>
      <w:r>
        <w:rPr>
          <w:rFonts w:hint="eastAsia" w:ascii="宋体" w:hAnsi="宋体" w:eastAsia="宋体"/>
          <w:sz w:val="21"/>
          <w:szCs w:val="21"/>
          <w:vertAlign w:val="superscript"/>
          <w:lang w:val="pt-BR"/>
        </w:rPr>
        <w:t>【4,5】</w:t>
      </w:r>
      <w:r>
        <w:rPr>
          <w:rFonts w:ascii="宋体" w:hAnsi="宋体" w:eastAsia="宋体"/>
          <w:sz w:val="21"/>
          <w:szCs w:val="21"/>
          <w:lang w:val="pt-BR"/>
        </w:rPr>
        <w:t>，与Neil Woodford等</w:t>
      </w:r>
      <w:r>
        <w:rPr>
          <w:rFonts w:hint="eastAsia" w:ascii="宋体" w:hAnsi="宋体" w:eastAsia="宋体"/>
          <w:sz w:val="21"/>
          <w:szCs w:val="21"/>
          <w:vertAlign w:val="superscript"/>
          <w:lang w:val="pt-BR"/>
        </w:rPr>
        <w:t>【6</w:t>
      </w:r>
      <w:r>
        <w:rPr>
          <w:rFonts w:ascii="宋体" w:hAnsi="宋体" w:eastAsia="宋体"/>
          <w:sz w:val="21"/>
          <w:szCs w:val="21"/>
          <w:vertAlign w:val="superscript"/>
          <w:lang w:val="pt-BR"/>
        </w:rPr>
        <w:t>】</w:t>
      </w:r>
      <w:r>
        <w:rPr>
          <w:rFonts w:ascii="宋体" w:hAnsi="宋体" w:eastAsia="宋体"/>
          <w:sz w:val="21"/>
          <w:szCs w:val="21"/>
          <w:lang w:val="pt-BR"/>
        </w:rPr>
        <w:t>报道也相一致。在徐丽</w:t>
      </w:r>
      <w:r>
        <w:rPr>
          <w:rFonts w:ascii="宋体" w:hAnsi="宋体" w:eastAsia="宋体"/>
          <w:sz w:val="21"/>
          <w:szCs w:val="21"/>
          <w:vertAlign w:val="superscript"/>
          <w:lang w:val="pt-BR"/>
        </w:rPr>
        <w:t>[</w:t>
      </w:r>
      <w:r>
        <w:rPr>
          <w:rFonts w:hint="eastAsia" w:ascii="宋体" w:hAnsi="宋体" w:eastAsia="宋体"/>
          <w:sz w:val="21"/>
          <w:szCs w:val="21"/>
          <w:vertAlign w:val="superscript"/>
          <w:lang w:val="pt-BR"/>
        </w:rPr>
        <w:t>7</w:t>
      </w:r>
      <w:r>
        <w:rPr>
          <w:rFonts w:ascii="宋体" w:hAnsi="宋体" w:eastAsia="宋体"/>
          <w:sz w:val="21"/>
          <w:szCs w:val="21"/>
          <w:vertAlign w:val="superscript"/>
          <w:lang w:val="pt-BR"/>
        </w:rPr>
        <w:t>]</w:t>
      </w:r>
      <w:r>
        <w:rPr>
          <w:sz w:val="28"/>
          <w:szCs w:val="28"/>
        </w:rPr>
        <w:t xml:space="preserve"> </w:t>
      </w:r>
      <w:r>
        <w:rPr>
          <w:rFonts w:ascii="宋体" w:hAnsi="宋体" w:eastAsia="宋体"/>
          <w:sz w:val="21"/>
          <w:szCs w:val="21"/>
          <w:lang w:val="pt-BR"/>
        </w:rPr>
        <w:t>对341株多重耐药的鲍曼不动杆菌的研究中，blaOXA-23-like，balISAbal的检出率为89.44%和99.41%。说明ISAbal不同插入片段位于这些基因（除balOXA-24）的5’及3’端时其表达量增加，从而导致耐药。</w:t>
      </w:r>
      <w:r>
        <w:rPr>
          <w:rFonts w:hint="eastAsia" w:ascii="宋体" w:hAnsi="宋体" w:eastAsia="宋体"/>
          <w:sz w:val="21"/>
          <w:szCs w:val="21"/>
          <w:lang w:val="pt-BR"/>
        </w:rPr>
        <w:t xml:space="preserve"> </w:t>
      </w:r>
    </w:p>
    <w:p>
      <w:pPr>
        <w:widowControl w:val="0"/>
        <w:autoSpaceDE w:val="0"/>
        <w:autoSpaceDN w:val="0"/>
        <w:snapToGrid/>
        <w:spacing w:after="0"/>
        <w:ind w:firstLine="420" w:firstLineChars="200"/>
        <w:rPr>
          <w:rFonts w:hint="eastAsia" w:ascii="宋体" w:hAnsi="宋体" w:eastAsia="宋体"/>
          <w:sz w:val="21"/>
          <w:szCs w:val="21"/>
          <w:lang w:val="pt-BR"/>
        </w:rPr>
      </w:pPr>
      <w:r>
        <w:rPr>
          <w:rFonts w:ascii="宋体" w:hAnsi="宋体" w:eastAsia="宋体"/>
          <w:sz w:val="21"/>
          <w:szCs w:val="21"/>
          <w:lang w:val="pt-BR"/>
        </w:rPr>
        <w:t>本次实验有</w:t>
      </w:r>
      <w:r>
        <w:rPr>
          <w:rFonts w:hint="eastAsia" w:ascii="宋体" w:hAnsi="宋体" w:eastAsia="宋体"/>
          <w:sz w:val="21"/>
          <w:szCs w:val="21"/>
          <w:lang w:val="pt-BR"/>
        </w:rPr>
        <w:t>2</w:t>
      </w:r>
      <w:r>
        <w:rPr>
          <w:rFonts w:ascii="宋体" w:hAnsi="宋体" w:eastAsia="宋体"/>
          <w:sz w:val="21"/>
          <w:szCs w:val="21"/>
          <w:lang w:val="pt-BR"/>
        </w:rPr>
        <w:t>株对碳青霉烯类敏感的鲍曼不动杆菌也携带OXA-23基因，可能是由于OXA-23基因表达比较弱，或者无ISAbal提供的强启动子，并不能导致对碳青霉烯类耐药，这个需要做进一步实验来探讨。</w:t>
      </w:r>
    </w:p>
    <w:p>
      <w:pPr>
        <w:spacing w:after="0"/>
        <w:ind w:firstLine="420" w:firstLineChars="200"/>
        <w:rPr>
          <w:rFonts w:hint="eastAsia" w:ascii="宋体" w:hAnsi="宋体" w:eastAsia="宋体"/>
          <w:sz w:val="21"/>
          <w:szCs w:val="21"/>
          <w:lang w:val="pt-BR"/>
        </w:rPr>
      </w:pPr>
      <w:r>
        <w:rPr>
          <w:rFonts w:ascii="宋体" w:hAnsi="宋体" w:eastAsia="宋体"/>
          <w:sz w:val="21"/>
          <w:szCs w:val="21"/>
          <w:lang w:val="pt-BR"/>
        </w:rPr>
        <w:t xml:space="preserve">Carbapenemase Nordmann-Poirel (Carba NP)方法 </w:t>
      </w:r>
      <w:r>
        <w:rPr>
          <w:rFonts w:ascii="宋体" w:hAnsi="宋体" w:eastAsia="宋体"/>
          <w:sz w:val="21"/>
          <w:szCs w:val="21"/>
          <w:vertAlign w:val="superscript"/>
          <w:lang w:val="pt-BR"/>
        </w:rPr>
        <w:t>[</w:t>
      </w:r>
      <w:r>
        <w:rPr>
          <w:rFonts w:hint="eastAsia" w:ascii="宋体" w:hAnsi="宋体" w:eastAsia="宋体"/>
          <w:sz w:val="21"/>
          <w:szCs w:val="21"/>
          <w:vertAlign w:val="superscript"/>
          <w:lang w:val="pt-BR"/>
        </w:rPr>
        <w:t>8</w:t>
      </w:r>
      <w:r>
        <w:rPr>
          <w:rFonts w:ascii="宋体" w:hAnsi="宋体" w:eastAsia="宋体"/>
          <w:sz w:val="21"/>
          <w:szCs w:val="21"/>
          <w:vertAlign w:val="superscript"/>
          <w:lang w:val="pt-BR"/>
        </w:rPr>
        <w:t>]</w:t>
      </w:r>
      <w:r>
        <w:rPr>
          <w:rFonts w:ascii="宋体" w:hAnsi="宋体" w:eastAsia="宋体"/>
          <w:sz w:val="21"/>
          <w:szCs w:val="21"/>
          <w:lang w:val="pt-BR"/>
        </w:rPr>
        <w:t>是2015年CLSI推荐的碳青霉烯酶的生化检测法。主要原理是测试菌水解亚胺培南的β内酰胺环，通过PH指示剂的颜色变化通常是用酚红指示剂，颜色由红色变为黄色或橘黄色，这个实验针对肠杆菌和绿脓在全球有了很广泛的验证，然而不动杆菌属产生了大量弱的D类碳青霉烯酶，传统的Carba NP很难检测出在不动杆菌属中高表达的OXA型的D类碳青霉烯酶。因此，建立一个改良的Carba NP（CarbAcineto NP）方法</w:t>
      </w:r>
      <w:r>
        <w:rPr>
          <w:rFonts w:hint="eastAsia" w:ascii="宋体" w:hAnsi="宋体" w:eastAsia="宋体"/>
          <w:sz w:val="21"/>
          <w:szCs w:val="21"/>
          <w:vertAlign w:val="superscript"/>
          <w:lang w:val="pt-BR"/>
        </w:rPr>
        <w:t>【9】</w:t>
      </w:r>
      <w:r>
        <w:rPr>
          <w:rFonts w:ascii="宋体" w:hAnsi="宋体" w:eastAsia="宋体"/>
          <w:sz w:val="21"/>
          <w:szCs w:val="21"/>
          <w:lang w:val="pt-BR"/>
        </w:rPr>
        <w:t xml:space="preserve"> 来检测不动杆菌的碳青霉烯酶可以对鲍曼不动杆菌的及时控制传播提供有效的临床依据。</w:t>
      </w:r>
    </w:p>
    <w:p>
      <w:pPr>
        <w:spacing w:after="0"/>
        <w:ind w:firstLine="420" w:firstLineChars="200"/>
        <w:rPr>
          <w:rFonts w:ascii="宋体" w:hAnsi="宋体" w:eastAsia="宋体"/>
          <w:sz w:val="21"/>
          <w:szCs w:val="21"/>
          <w:lang w:val="pt-BR"/>
        </w:rPr>
      </w:pPr>
      <w:r>
        <w:rPr>
          <w:rFonts w:ascii="宋体" w:hAnsi="宋体" w:eastAsia="宋体"/>
          <w:sz w:val="21"/>
          <w:szCs w:val="21"/>
          <w:lang w:val="pt-BR"/>
        </w:rPr>
        <w:t>在Carba NP实验中，大量的蛋白抽提液会阻碍弱的碳青霉烯酶的活性的释放，因此，在CarbAcineto NP中，用高渗的5M NaCl取代了蛋白抽提液，可以使细菌完全溶解，释放蛋白；并且挑取的菌量也增加了两倍，可以增加酶的释放量。</w:t>
      </w:r>
    </w:p>
    <w:p>
      <w:pPr>
        <w:spacing w:after="0"/>
        <w:ind w:firstLine="420" w:firstLineChars="200"/>
        <w:rPr>
          <w:rFonts w:ascii="宋体" w:hAnsi="宋体" w:eastAsia="宋体"/>
          <w:sz w:val="21"/>
          <w:szCs w:val="21"/>
          <w:lang w:val="pt-BR"/>
        </w:rPr>
      </w:pPr>
      <w:r>
        <w:rPr>
          <w:rFonts w:ascii="宋体" w:hAnsi="宋体" w:eastAsia="宋体"/>
          <w:sz w:val="21"/>
          <w:szCs w:val="21"/>
          <w:lang w:val="pt-BR"/>
        </w:rPr>
        <w:t>有3株对碳青霉烯类耐药，但是未检测到OXA-23基因，可能是由于细菌携带其他碳青霉烯酶耐药基因或者细菌外膜蛋白减少导致外膜通透性减少，外排泵的高表达等耐药机制造成的。下面用两个表型方法来检测鲍曼不动杆菌的碳青霉烯酶，统计这两种方法的敏感性和特异性，以及是否可以弥补PCR只能检测已知基因的缺陷。</w:t>
      </w:r>
    </w:p>
    <w:p>
      <w:pPr>
        <w:spacing w:after="0"/>
        <w:ind w:firstLine="420" w:firstLineChars="200"/>
        <w:rPr>
          <w:rFonts w:ascii="宋体" w:hAnsi="宋体"/>
          <w:szCs w:val="21"/>
        </w:rPr>
      </w:pPr>
      <w:r>
        <w:rPr>
          <w:rFonts w:ascii="宋体" w:hAnsi="宋体" w:eastAsia="宋体"/>
          <w:sz w:val="21"/>
          <w:szCs w:val="21"/>
          <w:lang w:val="pt-BR"/>
        </w:rPr>
        <w:t>此次试验中，耐碳青霉烯类的鲍曼不动杆菌有69株，其中60株CarbAcineto NP和OXA-23都为阳性；</w:t>
      </w:r>
      <w:r>
        <w:rPr>
          <w:rFonts w:ascii="宋体" w:hAnsi="宋体" w:eastAsia="宋体"/>
          <w:sz w:val="21"/>
          <w:szCs w:val="21"/>
        </w:rPr>
        <w:t>2株</w:t>
      </w:r>
      <w:r>
        <w:rPr>
          <w:rFonts w:ascii="宋体" w:hAnsi="宋体" w:eastAsia="宋体"/>
          <w:sz w:val="21"/>
          <w:szCs w:val="21"/>
          <w:lang w:val="pt-BR"/>
        </w:rPr>
        <w:t>CarbAcineto NP</w:t>
      </w:r>
      <w:r>
        <w:rPr>
          <w:rFonts w:ascii="宋体" w:hAnsi="宋体" w:eastAsia="宋体"/>
          <w:sz w:val="21"/>
          <w:szCs w:val="21"/>
        </w:rPr>
        <w:t>和OXA-23为阴性，有可能是由于其他耐药机制如细菌外膜通透性下降，外排泵高表达等原因造成对碳青霉烯类耐药；</w:t>
      </w:r>
      <w:r>
        <w:rPr>
          <w:rFonts w:ascii="宋体" w:hAnsi="宋体" w:eastAsia="宋体"/>
          <w:sz w:val="21"/>
          <w:szCs w:val="21"/>
          <w:lang w:val="pt-BR"/>
        </w:rPr>
        <w:t>6株OXA-23阳性，CarbAcineto NP阴性，可能是由于OXA-23基因表达的碳青霉烯酶活性比较弱，CarbAcineto NP方法无法验证；1株OXA-23阴性，CarbAcineto NP阳性，说明这一株鲍曼不动杆菌产非OXA-23类基因的碳青霉烯酶，如果通过PCR方法就要经过很多碳青霉烯酶基因检测来验证，但是通过这</w:t>
      </w:r>
      <w:r>
        <w:rPr>
          <w:rFonts w:hint="eastAsia" w:ascii="宋体" w:hAnsi="宋体" w:eastAsia="宋体"/>
          <w:sz w:val="21"/>
          <w:szCs w:val="21"/>
          <w:lang w:val="pt-BR"/>
        </w:rPr>
        <w:t>个</w:t>
      </w:r>
      <w:r>
        <w:rPr>
          <w:rFonts w:ascii="宋体" w:hAnsi="宋体" w:eastAsia="宋体"/>
          <w:sz w:val="21"/>
          <w:szCs w:val="21"/>
          <w:lang w:val="pt-BR"/>
        </w:rPr>
        <w:t>表型方法可以很快检测到是否产碳青霉烯酶。</w:t>
      </w:r>
    </w:p>
    <w:p>
      <w:pPr>
        <w:spacing w:after="0"/>
        <w:ind w:firstLine="420" w:firstLineChars="200"/>
        <w:rPr>
          <w:rFonts w:hint="eastAsia" w:ascii="宋体" w:hAnsi="宋体" w:eastAsia="宋体"/>
          <w:sz w:val="21"/>
          <w:szCs w:val="21"/>
          <w:lang w:val="pt-BR"/>
        </w:rPr>
      </w:pPr>
      <w:r>
        <w:rPr>
          <w:rFonts w:ascii="宋体" w:hAnsi="宋体" w:eastAsia="宋体"/>
          <w:sz w:val="21"/>
          <w:szCs w:val="21"/>
          <w:lang w:val="pt-BR"/>
        </w:rPr>
        <w:t>对碳青霉烯类敏感的51株鲍曼不动杆菌，其中有48株OXA-23和CarbAcineto NP都为阴性；2株OXA-23阳性，CarbAcineto NP阴性，可能是由于OXA-23基因表达的碳青霉烯酶活性比较弱，无</w:t>
      </w:r>
      <w:r>
        <w:rPr>
          <w:rFonts w:ascii="宋体" w:hAnsi="宋体" w:eastAsia="宋体"/>
          <w:sz w:val="21"/>
          <w:szCs w:val="21"/>
        </w:rPr>
        <w:t>ISAbal提供的强启动子</w:t>
      </w:r>
      <w:r>
        <w:rPr>
          <w:rFonts w:ascii="宋体" w:hAnsi="宋体" w:eastAsia="宋体"/>
          <w:sz w:val="21"/>
          <w:szCs w:val="21"/>
          <w:lang w:val="pt-BR"/>
        </w:rPr>
        <w:t>，并不对碳青霉烯类耐药，这需要进一步实验验证；1株OXA-23阴性，CarbAcineto NP阳性，可能是存在其他类碳青霉烯酶基因，表达活性也较弱，不对碳青霉烯类耐药。</w:t>
      </w:r>
    </w:p>
    <w:p>
      <w:pPr>
        <w:spacing w:after="0"/>
        <w:ind w:firstLine="525" w:firstLineChars="250"/>
        <w:rPr>
          <w:rFonts w:hint="eastAsia" w:ascii="宋体" w:hAnsi="宋体" w:eastAsia="宋体"/>
          <w:sz w:val="21"/>
          <w:szCs w:val="21"/>
          <w:lang w:val="pt-BR"/>
        </w:rPr>
      </w:pPr>
      <w:r>
        <w:rPr>
          <w:rFonts w:hint="eastAsia" w:ascii="宋体" w:hAnsi="宋体" w:eastAsia="宋体"/>
          <w:sz w:val="21"/>
          <w:szCs w:val="21"/>
          <w:lang w:val="pt-BR"/>
        </w:rPr>
        <w:t>结果表明，</w:t>
      </w:r>
      <w:r>
        <w:rPr>
          <w:rFonts w:ascii="宋体" w:hAnsi="宋体" w:eastAsia="宋体"/>
          <w:sz w:val="21"/>
          <w:szCs w:val="21"/>
          <w:lang w:val="pt-BR"/>
        </w:rPr>
        <w:t>CarbAcineto NP</w:t>
      </w:r>
      <w:r>
        <w:rPr>
          <w:rFonts w:hint="eastAsia" w:ascii="宋体" w:hAnsi="宋体" w:eastAsia="宋体"/>
          <w:sz w:val="21"/>
          <w:szCs w:val="21"/>
          <w:lang w:val="pt-BR"/>
        </w:rPr>
        <w:t>的敏感性和特异性分别达到了86.9%和96.2%，从方法评价上是敏感性和特异性很好的方法。PCR方法</w:t>
      </w:r>
      <w:r>
        <w:rPr>
          <w:rFonts w:hint="eastAsia" w:ascii="宋体" w:hAnsi="宋体" w:eastAsia="宋体"/>
          <w:sz w:val="21"/>
          <w:szCs w:val="21"/>
          <w:vertAlign w:val="superscript"/>
          <w:lang w:val="pt-BR"/>
        </w:rPr>
        <w:t>【10】</w:t>
      </w:r>
      <w:r>
        <w:rPr>
          <w:rFonts w:hint="eastAsia" w:ascii="宋体" w:hAnsi="宋体" w:eastAsia="宋体"/>
          <w:sz w:val="21"/>
          <w:szCs w:val="21"/>
          <w:lang w:val="pt-BR"/>
        </w:rPr>
        <w:t>可以精确鉴定碳青霉烯酶的种类，但是实验过程复杂，消耗高，并且只能鉴定已知的碳青霉烯酶基因。</w:t>
      </w:r>
      <w:r>
        <w:rPr>
          <w:rFonts w:ascii="宋体" w:hAnsi="宋体" w:eastAsia="宋体"/>
          <w:sz w:val="21"/>
          <w:szCs w:val="21"/>
          <w:lang w:val="pt-BR"/>
        </w:rPr>
        <w:t>CarbAcineto NP</w:t>
      </w:r>
      <w:r>
        <w:rPr>
          <w:rFonts w:hint="eastAsia" w:ascii="宋体" w:hAnsi="宋体" w:eastAsia="宋体"/>
          <w:sz w:val="21"/>
          <w:szCs w:val="21"/>
          <w:lang w:val="pt-BR"/>
        </w:rPr>
        <w:t>方法用到的试剂廉价，操作简单，用时短，结果易于解释，在普通实验室就可以开展，可以</w:t>
      </w:r>
      <w:r>
        <w:rPr>
          <w:rFonts w:ascii="宋体" w:hAnsi="宋体" w:eastAsia="宋体"/>
          <w:sz w:val="21"/>
          <w:szCs w:val="21"/>
          <w:lang w:val="pt-BR"/>
        </w:rPr>
        <w:t>为临床及时应用及调整抗生素提供快速有效的依据。</w:t>
      </w:r>
    </w:p>
    <w:p>
      <w:pPr>
        <w:ind w:firstLine="422" w:firstLineChars="150"/>
        <w:jc w:val="center"/>
        <w:rPr>
          <w:rFonts w:hint="eastAsia" w:ascii="黑体" w:hAnsi="黑体" w:eastAsia="黑体" w:cs="Times New Roman"/>
          <w:b/>
          <w:sz w:val="28"/>
          <w:szCs w:val="28"/>
        </w:rPr>
      </w:pPr>
    </w:p>
    <w:p>
      <w:pPr>
        <w:ind w:firstLine="422" w:firstLineChars="150"/>
        <w:jc w:val="center"/>
        <w:rPr>
          <w:rFonts w:hint="eastAsia" w:ascii="黑体" w:hAnsi="黑体" w:eastAsia="黑体" w:cs="Times New Roman"/>
          <w:b/>
          <w:sz w:val="28"/>
          <w:szCs w:val="28"/>
        </w:rPr>
      </w:pPr>
      <w:r>
        <w:rPr>
          <w:rFonts w:hint="eastAsia" w:ascii="黑体" w:hAnsi="黑体" w:eastAsia="黑体" w:cs="Times New Roman"/>
          <w:b/>
          <w:sz w:val="28"/>
          <w:szCs w:val="28"/>
        </w:rPr>
        <w:t>参考文献</w:t>
      </w:r>
    </w:p>
    <w:p>
      <w:pPr>
        <w:spacing w:after="0"/>
        <w:rPr>
          <w:rFonts w:ascii="Times New Roman" w:hAnsi="Times New Roman" w:cs="Times New Roman"/>
          <w:sz w:val="21"/>
          <w:szCs w:val="21"/>
        </w:rPr>
      </w:pPr>
      <w:r>
        <w:rPr>
          <w:rFonts w:ascii="Times New Roman" w:hAnsi="Times New Roman" w:cs="Times New Roman"/>
          <w:sz w:val="21"/>
          <w:szCs w:val="21"/>
        </w:rPr>
        <w:t>1. Jacoby GA, Munoz-Price LS. The new beta-lactamases. N Engl J Med 2005;352:380-91.</w:t>
      </w:r>
    </w:p>
    <w:p>
      <w:pPr>
        <w:spacing w:after="0"/>
        <w:rPr>
          <w:rFonts w:hint="eastAsia" w:ascii="Times New Roman" w:hAnsi="Times New Roman" w:cs="Times New Roman"/>
          <w:sz w:val="21"/>
          <w:szCs w:val="21"/>
        </w:rPr>
      </w:pPr>
    </w:p>
    <w:p>
      <w:pPr>
        <w:spacing w:after="0"/>
        <w:rPr>
          <w:rFonts w:ascii="Times New Roman" w:hAnsi="Times New Roman" w:cs="Times New Roman"/>
          <w:sz w:val="21"/>
          <w:szCs w:val="21"/>
        </w:rPr>
      </w:pPr>
      <w:r>
        <w:rPr>
          <w:rFonts w:ascii="Times New Roman" w:hAnsi="Times New Roman" w:cs="Times New Roman"/>
          <w:sz w:val="21"/>
          <w:szCs w:val="21"/>
        </w:rPr>
        <w:t>2. Walsh TR. Clinically significant carbapenemases: an up-date. Curr Opin Infect Dis 2008;21:367-71</w:t>
      </w:r>
    </w:p>
    <w:p>
      <w:pPr>
        <w:widowControl w:val="0"/>
        <w:tabs>
          <w:tab w:val="left" w:leader="middleDot" w:pos="8400"/>
        </w:tabs>
        <w:adjustRightInd/>
        <w:snapToGrid/>
        <w:spacing w:after="0"/>
        <w:rPr>
          <w:rFonts w:hint="eastAsia" w:ascii="Times New Roman" w:hAnsi="Times New Roman" w:eastAsia="宋体" w:cs="Times New Roman"/>
          <w:sz w:val="21"/>
          <w:szCs w:val="21"/>
          <w:lang w:val="pt-BR"/>
        </w:rPr>
      </w:pPr>
    </w:p>
    <w:p>
      <w:pPr>
        <w:widowControl w:val="0"/>
        <w:tabs>
          <w:tab w:val="left" w:leader="middleDot" w:pos="8400"/>
        </w:tabs>
        <w:adjustRightInd/>
        <w:snapToGrid/>
        <w:spacing w:after="0"/>
        <w:rPr>
          <w:rFonts w:ascii="Times New Roman" w:hAnsi="Times New Roman" w:cs="Times New Roman"/>
          <w:color w:val="FF0000"/>
          <w:sz w:val="21"/>
          <w:szCs w:val="21"/>
        </w:rPr>
      </w:pPr>
      <w:r>
        <w:rPr>
          <w:rFonts w:ascii="Times New Roman" w:hAnsi="Times New Roman" w:eastAsia="宋体" w:cs="Times New Roman"/>
          <w:sz w:val="21"/>
          <w:szCs w:val="21"/>
          <w:lang w:val="pt-BR"/>
        </w:rPr>
        <w:t>3.</w:t>
      </w:r>
      <w:r>
        <w:rPr>
          <w:rFonts w:hint="eastAsia" w:ascii="Times New Roman" w:hAnsi="Times New Roman" w:eastAsia="宋体" w:cs="Times New Roman"/>
          <w:sz w:val="21"/>
          <w:szCs w:val="21"/>
          <w:lang w:val="pt-BR"/>
        </w:rPr>
        <w:t xml:space="preserve"> </w:t>
      </w:r>
      <w:r>
        <w:rPr>
          <w:rFonts w:ascii="Times New Roman" w:hAnsi="Times New Roman" w:cs="Times New Roman"/>
          <w:sz w:val="21"/>
          <w:szCs w:val="21"/>
        </w:rPr>
        <w:t>Diene SM,Rolain JM. Carbapenemase genes and genetic platforms in Gram-negative bacilli: Enterobacteriaceae, Pseudomonas and Acinetobacter species. Clin Microbiol Infect 2014; 20: 831~838.</w:t>
      </w:r>
    </w:p>
    <w:p>
      <w:pPr>
        <w:spacing w:after="0"/>
        <w:rPr>
          <w:rFonts w:hint="eastAsia" w:ascii="Times New Roman" w:hAnsi="Times New Roman" w:cs="Times New Roman"/>
          <w:sz w:val="21"/>
          <w:szCs w:val="21"/>
        </w:rPr>
      </w:pPr>
    </w:p>
    <w:p>
      <w:pPr>
        <w:spacing w:after="0"/>
        <w:rPr>
          <w:rFonts w:hint="eastAsia" w:ascii="宋体" w:hAnsi="宋体" w:eastAsia="宋体" w:cs="Times New Roman"/>
          <w:sz w:val="21"/>
          <w:szCs w:val="21"/>
        </w:rPr>
      </w:pPr>
      <w:r>
        <w:rPr>
          <w:rFonts w:ascii="Times New Roman" w:hAnsi="Times New Roman" w:cs="Times New Roman"/>
          <w:sz w:val="21"/>
          <w:szCs w:val="21"/>
        </w:rPr>
        <w:t>4.</w:t>
      </w:r>
      <w:r>
        <w:rPr>
          <w:rFonts w:hint="eastAsia" w:ascii="宋体" w:hAnsi="宋体" w:eastAsia="宋体" w:cs="Times New Roman"/>
          <w:sz w:val="21"/>
          <w:szCs w:val="21"/>
        </w:rPr>
        <w:t xml:space="preserve"> </w:t>
      </w:r>
      <w:r>
        <w:rPr>
          <w:rFonts w:ascii="宋体" w:hAnsi="宋体" w:eastAsia="宋体" w:cs="Times New Roman"/>
          <w:sz w:val="21"/>
          <w:szCs w:val="21"/>
        </w:rPr>
        <w:t xml:space="preserve">张伟红，叶慧芬，杨银梅，等.耐亚胺培南鲍曼不动杆菌耐药表型和碳青霉烯酶基因型分析[J].中国感染与化疗杂志，2011，11（1）：45－48. </w:t>
      </w:r>
    </w:p>
    <w:p>
      <w:pPr>
        <w:spacing w:after="0"/>
        <w:rPr>
          <w:rFonts w:hint="eastAsia" w:ascii="宋体" w:hAnsi="宋体" w:eastAsia="宋体" w:cs="Times New Roman"/>
          <w:sz w:val="21"/>
          <w:szCs w:val="21"/>
        </w:rPr>
      </w:pPr>
    </w:p>
    <w:p>
      <w:pPr>
        <w:spacing w:after="0"/>
        <w:rPr>
          <w:rFonts w:ascii="宋体" w:hAnsi="宋体" w:eastAsia="宋体" w:cs="Times New Roman"/>
          <w:sz w:val="21"/>
          <w:szCs w:val="21"/>
        </w:rPr>
      </w:pPr>
      <w:r>
        <w:rPr>
          <w:rFonts w:ascii="宋体" w:hAnsi="宋体" w:eastAsia="宋体" w:cs="Times New Roman"/>
          <w:sz w:val="21"/>
          <w:szCs w:val="21"/>
        </w:rPr>
        <w:t>5.</w:t>
      </w:r>
      <w:r>
        <w:rPr>
          <w:rFonts w:hint="eastAsia" w:ascii="宋体" w:hAnsi="宋体" w:eastAsia="宋体" w:cs="Times New Roman"/>
          <w:sz w:val="21"/>
          <w:szCs w:val="21"/>
        </w:rPr>
        <w:t xml:space="preserve"> </w:t>
      </w:r>
      <w:r>
        <w:rPr>
          <w:rFonts w:ascii="宋体" w:hAnsi="宋体" w:eastAsia="宋体" w:cs="Times New Roman"/>
          <w:sz w:val="21"/>
          <w:szCs w:val="21"/>
        </w:rPr>
        <w:t>陈振华.鲍曼不动杆菌碳青霉烯酶检测及流行病学分析.中南大学2010年硕士学位论文.</w:t>
      </w:r>
    </w:p>
    <w:p>
      <w:pPr>
        <w:spacing w:after="0"/>
        <w:rPr>
          <w:rFonts w:hint="eastAsia" w:ascii="Times New Roman" w:hAnsi="Times New Roman" w:cs="Times New Roman"/>
          <w:sz w:val="21"/>
          <w:szCs w:val="21"/>
        </w:rPr>
      </w:pPr>
    </w:p>
    <w:p>
      <w:pPr>
        <w:spacing w:after="0"/>
        <w:rPr>
          <w:rFonts w:ascii="Times New Roman" w:hAnsi="Times New Roman" w:cs="Times New Roman"/>
          <w:sz w:val="21"/>
          <w:szCs w:val="21"/>
        </w:rPr>
      </w:pPr>
      <w:r>
        <w:rPr>
          <w:rFonts w:ascii="Times New Roman" w:hAnsi="Times New Roman" w:cs="Times New Roman"/>
          <w:sz w:val="21"/>
          <w:szCs w:val="21"/>
        </w:rPr>
        <w:t>6</w:t>
      </w:r>
      <w:r>
        <w:rPr>
          <w:rFonts w:hint="eastAsia" w:ascii="Times New Roman" w:hAnsi="Times New Roman" w:cs="Times New Roman"/>
          <w:sz w:val="21"/>
          <w:szCs w:val="21"/>
        </w:rPr>
        <w:t xml:space="preserve">. </w:t>
      </w:r>
      <w:r>
        <w:rPr>
          <w:rFonts w:ascii="Times New Roman" w:hAnsi="Times New Roman" w:cs="Times New Roman"/>
          <w:sz w:val="21"/>
          <w:szCs w:val="21"/>
        </w:rPr>
        <w:t>Woodford N，Ellington MJ，Coelho JM，et a1．Multiplex PCR for genes encoding prevalent OXA carbapenemases in Acinetobacter spp．Int J Antimierob Agents , 2006,27:351-353.</w:t>
      </w:r>
    </w:p>
    <w:p>
      <w:pPr>
        <w:spacing w:after="0"/>
        <w:rPr>
          <w:rFonts w:hint="eastAsia" w:ascii="Times New Roman" w:hAnsi="Times New Roman" w:cs="Times New Roman"/>
          <w:sz w:val="21"/>
          <w:szCs w:val="21"/>
        </w:rPr>
      </w:pPr>
    </w:p>
    <w:p>
      <w:pPr>
        <w:spacing w:after="0"/>
        <w:rPr>
          <w:rFonts w:hint="eastAsia" w:ascii="Times New Roman" w:hAnsi="Times New Roman" w:cs="Times New Roman"/>
          <w:sz w:val="21"/>
          <w:szCs w:val="21"/>
        </w:rPr>
      </w:pPr>
      <w:r>
        <w:rPr>
          <w:rFonts w:ascii="Times New Roman" w:hAnsi="Times New Roman" w:cs="Times New Roman"/>
          <w:sz w:val="21"/>
          <w:szCs w:val="21"/>
        </w:rPr>
        <w:t>7</w:t>
      </w:r>
      <w:r>
        <w:rPr>
          <w:rFonts w:hint="eastAsia" w:ascii="Times New Roman" w:hAnsi="Times New Roman" w:cs="Times New Roman"/>
          <w:sz w:val="21"/>
          <w:szCs w:val="21"/>
        </w:rPr>
        <w:t xml:space="preserve">. </w:t>
      </w:r>
      <w:r>
        <w:rPr>
          <w:rFonts w:ascii="Times New Roman" w:hAnsi="Times New Roman" w:cs="Times New Roman"/>
          <w:sz w:val="21"/>
          <w:szCs w:val="21"/>
        </w:rPr>
        <w:t>徐丽，北京某医院鲍曼不动杆菌临床分离株耐药性及分子流行病学研究.河北医科大学2013年硕士学位论文.</w:t>
      </w:r>
    </w:p>
    <w:p>
      <w:pPr>
        <w:spacing w:after="0"/>
        <w:rPr>
          <w:rFonts w:hint="eastAsia" w:ascii="Times New Roman" w:hAnsi="Times New Roman" w:cs="Times New Roman"/>
          <w:sz w:val="21"/>
          <w:szCs w:val="21"/>
        </w:rPr>
      </w:pPr>
    </w:p>
    <w:p>
      <w:pPr>
        <w:spacing w:after="0"/>
        <w:rPr>
          <w:rFonts w:hint="eastAsia" w:ascii="Times New Roman" w:hAnsi="Times New Roman" w:cs="Times New Roman"/>
          <w:sz w:val="21"/>
          <w:szCs w:val="21"/>
        </w:rPr>
      </w:pPr>
      <w:r>
        <w:rPr>
          <w:rFonts w:hint="eastAsia" w:ascii="Times New Roman" w:hAnsi="Times New Roman" w:cs="Times New Roman"/>
          <w:sz w:val="21"/>
          <w:szCs w:val="21"/>
        </w:rPr>
        <w:t>8</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Dortet L, Poirel L, Nordmann P. Rapid identification of carbapenemase types in Enterobacteriaceae and Pseudomonas spp. by using a biochemical test. Antimicrob. Agents Chemother. 2012,56:6437~6440.</w:t>
      </w:r>
    </w:p>
    <w:p>
      <w:pPr>
        <w:spacing w:after="0"/>
        <w:rPr>
          <w:rFonts w:hint="eastAsia" w:ascii="Times New Roman" w:hAnsi="Times New Roman" w:cs="Times New Roman"/>
          <w:sz w:val="21"/>
          <w:szCs w:val="21"/>
        </w:rPr>
      </w:pPr>
    </w:p>
    <w:p>
      <w:pPr>
        <w:spacing w:after="0"/>
        <w:rPr>
          <w:rFonts w:ascii="Times New Roman" w:hAnsi="Times New Roman" w:cs="Times New Roman"/>
          <w:sz w:val="21"/>
          <w:szCs w:val="21"/>
        </w:rPr>
      </w:pPr>
      <w:r>
        <w:rPr>
          <w:rFonts w:hint="eastAsia" w:ascii="Times New Roman" w:hAnsi="Times New Roman" w:cs="Times New Roman"/>
          <w:sz w:val="21"/>
          <w:szCs w:val="21"/>
        </w:rPr>
        <w:t xml:space="preserve">9. </w:t>
      </w:r>
      <w:r>
        <w:rPr>
          <w:rFonts w:ascii="Times New Roman" w:hAnsi="Times New Roman" w:cs="Times New Roman"/>
          <w:sz w:val="21"/>
          <w:szCs w:val="21"/>
        </w:rPr>
        <w:t xml:space="preserve"> Dortet L, Poirel L, Errera C, Nordmann P CarbAcineto NP Test for Rapid Detection of Carbapenemase-Producing Acinetobacter spp. J Clin Microbiol ,2014,52: 2359~2364.</w:t>
      </w:r>
    </w:p>
    <w:p>
      <w:pPr>
        <w:widowControl w:val="0"/>
        <w:autoSpaceDE w:val="0"/>
        <w:autoSpaceDN w:val="0"/>
        <w:snapToGrid/>
        <w:spacing w:after="0"/>
        <w:rPr>
          <w:rFonts w:hint="eastAsia" w:ascii="Times New Roman" w:hAnsi="Times New Roman" w:cs="Times New Roman"/>
          <w:sz w:val="21"/>
          <w:szCs w:val="21"/>
        </w:rPr>
      </w:pPr>
    </w:p>
    <w:p>
      <w:pPr>
        <w:widowControl w:val="0"/>
        <w:autoSpaceDE w:val="0"/>
        <w:autoSpaceDN w:val="0"/>
        <w:snapToGrid/>
        <w:spacing w:after="0"/>
        <w:rPr>
          <w:rFonts w:ascii="Times New Roman" w:hAnsi="Times New Roman" w:cs="Times New Roman"/>
          <w:sz w:val="21"/>
          <w:szCs w:val="21"/>
        </w:rPr>
      </w:pPr>
      <w:r>
        <w:rPr>
          <w:rFonts w:hint="eastAsia" w:ascii="Times New Roman" w:hAnsi="Times New Roman" w:cs="Times New Roman"/>
          <w:sz w:val="21"/>
          <w:szCs w:val="21"/>
        </w:rPr>
        <w:t xml:space="preserve">10. </w:t>
      </w:r>
      <w:r>
        <w:rPr>
          <w:rFonts w:ascii="Times New Roman" w:hAnsi="Times New Roman" w:cs="Times New Roman"/>
          <w:sz w:val="21"/>
          <w:szCs w:val="21"/>
        </w:rPr>
        <w:t>Nordmann, P., Gniadkowski, M., et al., 2012c. Identification and screening of</w:t>
      </w:r>
    </w:p>
    <w:p>
      <w:pPr>
        <w:widowControl w:val="0"/>
        <w:autoSpaceDE w:val="0"/>
        <w:autoSpaceDN w:val="0"/>
        <w:snapToGrid/>
        <w:spacing w:after="0"/>
        <w:rPr>
          <w:rFonts w:ascii="Times New Roman" w:hAnsi="Times New Roman" w:cs="Times New Roman"/>
          <w:sz w:val="21"/>
          <w:szCs w:val="21"/>
        </w:rPr>
      </w:pPr>
      <w:r>
        <w:rPr>
          <w:rFonts w:ascii="Times New Roman" w:hAnsi="Times New Roman" w:cs="Times New Roman"/>
          <w:sz w:val="21"/>
          <w:szCs w:val="21"/>
        </w:rPr>
        <w:t>carbapenemase-producing Enterobacteriaceae. Clin. Microbiol. Infect. 18 (5),</w:t>
      </w:r>
    </w:p>
    <w:p>
      <w:pPr>
        <w:spacing w:after="0"/>
        <w:rPr>
          <w:rFonts w:ascii="Times New Roman" w:hAnsi="Times New Roman" w:cs="Times New Roman"/>
          <w:sz w:val="21"/>
          <w:szCs w:val="21"/>
        </w:rPr>
      </w:pPr>
      <w:r>
        <w:rPr>
          <w:rFonts w:ascii="Times New Roman" w:hAnsi="Times New Roman" w:cs="Times New Roman"/>
          <w:sz w:val="21"/>
          <w:szCs w:val="21"/>
        </w:rPr>
        <w:t>432</w:t>
      </w:r>
      <w:r>
        <w:rPr>
          <w:rFonts w:hint="eastAsia" w:ascii="Times New Roman" w:hAnsi="Times New Roman" w:cs="Times New Roman"/>
          <w:sz w:val="21"/>
          <w:szCs w:val="21"/>
        </w:rPr>
        <w:t>–</w:t>
      </w:r>
      <w:r>
        <w:rPr>
          <w:rFonts w:ascii="Times New Roman" w:hAnsi="Times New Roman" w:cs="Times New Roman"/>
          <w:sz w:val="21"/>
          <w:szCs w:val="21"/>
        </w:rPr>
        <w:t>438.</w:t>
      </w:r>
    </w:p>
    <w:p>
      <w:pPr>
        <w:ind w:firstLine="315" w:firstLineChars="150"/>
        <w:rPr>
          <w:rFonts w:ascii="Times New Roman" w:hAnsi="Times New Roman" w:cs="Times New Roman"/>
          <w:sz w:val="21"/>
          <w:szCs w:val="21"/>
        </w:rPr>
      </w:pPr>
    </w:p>
    <w:p>
      <w:pPr>
        <w:spacing w:line="440" w:lineRule="exact"/>
        <w:ind w:firstLine="525" w:firstLineChars="250"/>
        <w:rPr>
          <w:rFonts w:ascii="宋体" w:hAnsi="宋体" w:eastAsia="宋体"/>
          <w:sz w:val="21"/>
          <w:szCs w:val="21"/>
          <w:lang w:val="pt-BR"/>
        </w:rPr>
      </w:pPr>
    </w:p>
    <w:p>
      <w:pPr>
        <w:spacing w:line="440" w:lineRule="exact"/>
        <w:ind w:firstLine="560" w:firstLineChars="200"/>
        <w:rPr>
          <w:sz w:val="28"/>
          <w:szCs w:val="28"/>
          <w:lang w:val="pt-BR"/>
        </w:rPr>
      </w:pPr>
    </w:p>
    <w:p>
      <w:pPr>
        <w:rPr>
          <w:rFonts w:hint="eastAsia" w:ascii="宋体" w:hAnsi="宋体" w:cs="宋体"/>
          <w:szCs w:val="21"/>
          <w:lang w:val="zh-CN"/>
        </w:rPr>
      </w:pPr>
    </w:p>
    <w:p>
      <w:pPr>
        <w:spacing w:line="220" w:lineRule="atLeast"/>
        <w:ind w:firstLine="480"/>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254D"/>
    <w:rsid w:val="000C4EF7"/>
    <w:rsid w:val="000E2124"/>
    <w:rsid w:val="00117D3A"/>
    <w:rsid w:val="00151467"/>
    <w:rsid w:val="002174DE"/>
    <w:rsid w:val="00224A0C"/>
    <w:rsid w:val="002E4533"/>
    <w:rsid w:val="00323B43"/>
    <w:rsid w:val="003952DB"/>
    <w:rsid w:val="003B7102"/>
    <w:rsid w:val="003D37D8"/>
    <w:rsid w:val="003E2B9D"/>
    <w:rsid w:val="00426133"/>
    <w:rsid w:val="004358AB"/>
    <w:rsid w:val="006F2842"/>
    <w:rsid w:val="007364C3"/>
    <w:rsid w:val="00737F75"/>
    <w:rsid w:val="00745B64"/>
    <w:rsid w:val="0081078E"/>
    <w:rsid w:val="008245BB"/>
    <w:rsid w:val="00831A7C"/>
    <w:rsid w:val="008724C4"/>
    <w:rsid w:val="00874708"/>
    <w:rsid w:val="008A33FB"/>
    <w:rsid w:val="008B7726"/>
    <w:rsid w:val="00905E29"/>
    <w:rsid w:val="00987358"/>
    <w:rsid w:val="009B07BE"/>
    <w:rsid w:val="009C04B6"/>
    <w:rsid w:val="009E32E5"/>
    <w:rsid w:val="009F0CB1"/>
    <w:rsid w:val="00A22206"/>
    <w:rsid w:val="00AA79C5"/>
    <w:rsid w:val="00AC4229"/>
    <w:rsid w:val="00AF619A"/>
    <w:rsid w:val="00B0365E"/>
    <w:rsid w:val="00BB03F9"/>
    <w:rsid w:val="00BB4E60"/>
    <w:rsid w:val="00BC1A2E"/>
    <w:rsid w:val="00C1225B"/>
    <w:rsid w:val="00C632B5"/>
    <w:rsid w:val="00C86071"/>
    <w:rsid w:val="00D31D50"/>
    <w:rsid w:val="00E60095"/>
    <w:rsid w:val="00E705E7"/>
    <w:rsid w:val="00ED06E4"/>
    <w:rsid w:val="00EF3D6D"/>
    <w:rsid w:val="00EF641E"/>
    <w:rsid w:val="00F91F62"/>
    <w:rsid w:val="00FB1F42"/>
    <w:rsid w:val="00FD07E4"/>
    <w:rsid w:val="00FD2423"/>
    <w:rsid w:val="00FE4E67"/>
    <w:rsid w:val="077D09BC"/>
    <w:rsid w:val="12531565"/>
    <w:rsid w:val="3C105D7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pPr>
      <w:spacing w:after="0"/>
    </w:pPr>
    <w:rPr>
      <w:sz w:val="18"/>
      <w:szCs w:val="18"/>
    </w:rPr>
  </w:style>
  <w:style w:type="character" w:customStyle="1" w:styleId="5">
    <w:name w:val="批注框文本 Char"/>
    <w:basedOn w:val="3"/>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1466</Words>
  <Characters>8357</Characters>
  <Lines>69</Lines>
  <Paragraphs>19</Paragraphs>
  <ScaleCrop>false</ScaleCrop>
  <LinksUpToDate>false</LinksUpToDate>
  <CharactersWithSpaces>9804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吉美瑄</cp:lastModifiedBy>
  <dcterms:modified xsi:type="dcterms:W3CDTF">2017-02-10T02:40:56Z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